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Lines="150" w:line="640" w:lineRule="exact"/>
        <w:jc w:val="center"/>
        <w:rPr>
          <w:rFonts w:ascii="宋体" w:hAnsi="宋体"/>
          <w:b/>
          <w:color w:val="FF0000"/>
          <w:spacing w:val="-14"/>
          <w:kern w:val="0"/>
          <w:sz w:val="72"/>
          <w:szCs w:val="72"/>
        </w:rPr>
      </w:pPr>
      <w:r>
        <w:rPr>
          <w:rFonts w:hint="eastAsia" w:ascii="宋体" w:hAnsi="宋体"/>
          <w:b/>
          <w:color w:val="FF0000"/>
          <w:spacing w:val="-14"/>
          <w:kern w:val="0"/>
          <w:sz w:val="72"/>
          <w:szCs w:val="72"/>
        </w:rPr>
        <w:t>融资租赁专业人才培训组委会</w:t>
      </w:r>
    </w:p>
    <w:p>
      <w:pPr>
        <w:widowControl/>
        <w:spacing w:line="460" w:lineRule="exact"/>
        <w:jc w:val="center"/>
        <w:rPr>
          <w:rFonts w:ascii="仿宋_GB2312" w:eastAsia="仿宋_GB2312"/>
          <w:bCs/>
          <w:color w:val="000000"/>
          <w:sz w:val="32"/>
        </w:rPr>
      </w:pPr>
      <w:r>
        <w:rPr>
          <w:rFonts w:hint="eastAsia" w:ascii="仿宋_GB2312" w:eastAsia="仿宋_GB2312"/>
          <w:bCs/>
          <w:color w:val="000000"/>
          <w:sz w:val="32"/>
        </w:rPr>
        <w:t>融租培〔</w:t>
      </w:r>
      <w:r>
        <w:rPr>
          <w:rFonts w:ascii="仿宋_GB2312" w:eastAsia="仿宋_GB2312"/>
          <w:bCs/>
          <w:color w:val="000000"/>
          <w:sz w:val="32"/>
        </w:rPr>
        <w:t>20</w:t>
      </w:r>
      <w:r>
        <w:rPr>
          <w:rFonts w:hint="eastAsia" w:ascii="仿宋_GB2312" w:eastAsia="仿宋_GB2312"/>
          <w:bCs/>
          <w:color w:val="000000"/>
          <w:sz w:val="32"/>
        </w:rPr>
        <w:t>22</w:t>
      </w:r>
      <w:r>
        <w:rPr>
          <w:rFonts w:hint="eastAsia" w:ascii="仿宋_GB2312" w:eastAsia="仿宋_GB2312"/>
          <w:bCs/>
          <w:sz w:val="32"/>
        </w:rPr>
        <w:t>〕</w:t>
      </w:r>
      <w:r>
        <w:rPr>
          <w:rFonts w:hint="eastAsia" w:ascii="仿宋_GB2312" w:eastAsia="仿宋_GB2312"/>
          <w:bCs/>
          <w:sz w:val="32"/>
          <w:lang w:val="en-US" w:eastAsia="zh-CN"/>
        </w:rPr>
        <w:t>40</w:t>
      </w:r>
      <w:bookmarkStart w:id="0" w:name="_GoBack"/>
      <w:bookmarkEnd w:id="0"/>
      <w:r>
        <w:rPr>
          <w:rFonts w:hint="eastAsia" w:ascii="仿宋_GB2312" w:eastAsia="仿宋_GB2312"/>
          <w:bCs/>
          <w:sz w:val="32"/>
        </w:rPr>
        <w:t>号</w:t>
      </w:r>
    </w:p>
    <w:p>
      <w:pPr>
        <w:widowControl/>
        <w:spacing w:line="160" w:lineRule="exact"/>
        <w:jc w:val="center"/>
        <w:rPr>
          <w:rFonts w:ascii="仿宋_GB2312" w:eastAsia="仿宋_GB2312"/>
          <w:color w:val="000000"/>
          <w:sz w:val="32"/>
        </w:rPr>
      </w:pPr>
      <w:r>
        <w:rPr>
          <w:rFonts w:ascii="宋体" w:hAnsi="华文中宋"/>
          <w:b/>
          <w:color w:val="000000"/>
          <w:sz w:val="36"/>
        </w:rPr>
        <w:pict>
          <v:line id="_x0000_s1026" o:spid="_x0000_s1026" o:spt="20" style="position:absolute;left:0pt;margin-left:1.05pt;margin-top:-0.4pt;height:0pt;width:494.25pt;z-index:251659264;mso-width-relative:page;mso-height-relative:page;" stroked="t" coordsize="21600,21600">
            <v:path arrowok="t"/>
            <v:fill focussize="0,0"/>
            <v:stroke weight="3pt" color="#FF0000"/>
            <v:imagedata o:title=""/>
            <o:lock v:ext="edit"/>
          </v:line>
        </w:pict>
      </w:r>
    </w:p>
    <w:p>
      <w:pPr>
        <w:spacing w:line="420" w:lineRule="exact"/>
        <w:jc w:val="center"/>
        <w:rPr>
          <w:rFonts w:ascii="Arial" w:hAnsi="Arial" w:cs="Arial"/>
          <w:b/>
          <w:sz w:val="36"/>
          <w:szCs w:val="36"/>
        </w:rPr>
      </w:pPr>
      <w:r>
        <w:rPr>
          <w:rFonts w:hint="eastAsia" w:ascii="Arial" w:hAnsi="Arial" w:cs="Arial"/>
          <w:b/>
          <w:sz w:val="36"/>
          <w:szCs w:val="36"/>
        </w:rPr>
        <w:t>关于举办供应链金融与保理业务合规、风险防范</w:t>
      </w:r>
    </w:p>
    <w:p>
      <w:pPr>
        <w:spacing w:line="420" w:lineRule="exact"/>
        <w:jc w:val="center"/>
        <w:rPr>
          <w:rFonts w:ascii="Arial" w:hAnsi="Arial" w:cs="Arial"/>
          <w:b/>
          <w:sz w:val="36"/>
          <w:szCs w:val="36"/>
        </w:rPr>
      </w:pPr>
      <w:r>
        <w:rPr>
          <w:rFonts w:hint="eastAsia" w:ascii="Arial" w:hAnsi="Arial" w:cs="Arial"/>
          <w:b/>
          <w:sz w:val="36"/>
          <w:szCs w:val="36"/>
        </w:rPr>
        <w:t>精讲班的通知</w:t>
      </w:r>
    </w:p>
    <w:p>
      <w:pPr>
        <w:spacing w:line="400" w:lineRule="exact"/>
        <w:rPr>
          <w:rFonts w:ascii="宋体" w:hAnsi="宋体" w:cs="Arial"/>
          <w:sz w:val="32"/>
          <w:szCs w:val="32"/>
        </w:rPr>
      </w:pPr>
      <w:r>
        <w:rPr>
          <w:rFonts w:hint="eastAsia" w:ascii="宋体" w:hAnsi="宋体" w:cs="Arial"/>
          <w:sz w:val="32"/>
          <w:szCs w:val="32"/>
        </w:rPr>
        <w:t>各会员单位、业界同仁：</w:t>
      </w:r>
    </w:p>
    <w:p>
      <w:pPr>
        <w:spacing w:line="400" w:lineRule="exact"/>
        <w:rPr>
          <w:rFonts w:ascii="宋体" w:hAnsi="宋体" w:cs="Arial"/>
          <w:sz w:val="32"/>
          <w:szCs w:val="32"/>
        </w:rPr>
      </w:pPr>
      <w:r>
        <w:rPr>
          <w:rFonts w:hint="eastAsia" w:ascii="宋体" w:hAnsi="宋体" w:cs="Arial"/>
          <w:sz w:val="32"/>
          <w:szCs w:val="32"/>
        </w:rPr>
        <w:t xml:space="preserve">    为加强供应链金融与商业保理、金融从业人员职业风控合规能力建设、实务操作能力、提高从业人员综合素质，引导行业规范发展、培养更多专业金融人才，组委会将举办“供应链金融与保理业务合规、风险防范精讲班”，现将有关事宜通知如下：</w:t>
      </w:r>
    </w:p>
    <w:p>
      <w:pPr>
        <w:spacing w:line="400" w:lineRule="exact"/>
        <w:rPr>
          <w:rFonts w:ascii="Arial" w:hAnsi="Arial" w:cs="Arial"/>
          <w:b/>
          <w:sz w:val="32"/>
          <w:szCs w:val="32"/>
        </w:rPr>
      </w:pPr>
      <w:r>
        <w:rPr>
          <w:rFonts w:hint="eastAsia" w:ascii="Arial" w:hAnsi="Arial" w:cs="Arial"/>
          <w:b/>
          <w:sz w:val="32"/>
          <w:szCs w:val="32"/>
        </w:rPr>
        <w:t>一、</w:t>
      </w:r>
      <w:r>
        <w:rPr>
          <w:rFonts w:ascii="Arial" w:hAnsi="Arial" w:cs="Arial"/>
          <w:b/>
          <w:sz w:val="32"/>
          <w:szCs w:val="32"/>
        </w:rPr>
        <w:t>时间</w:t>
      </w:r>
      <w:r>
        <w:rPr>
          <w:rFonts w:hint="eastAsia" w:ascii="Arial" w:hAnsi="Arial" w:cs="Arial"/>
          <w:b/>
          <w:sz w:val="32"/>
          <w:szCs w:val="32"/>
        </w:rPr>
        <w:t>、</w:t>
      </w:r>
      <w:r>
        <w:rPr>
          <w:rFonts w:ascii="Arial" w:hAnsi="Arial" w:cs="Arial"/>
          <w:b/>
          <w:sz w:val="32"/>
          <w:szCs w:val="32"/>
        </w:rPr>
        <w:t>地点</w:t>
      </w:r>
    </w:p>
    <w:p>
      <w:pPr>
        <w:spacing w:line="400" w:lineRule="exact"/>
        <w:ind w:firstLine="588" w:firstLineChars="196"/>
        <w:rPr>
          <w:rFonts w:ascii="宋体" w:hAnsi="宋体" w:cs="Arial"/>
          <w:sz w:val="30"/>
          <w:szCs w:val="30"/>
        </w:rPr>
      </w:pPr>
      <w:r>
        <w:rPr>
          <w:rFonts w:ascii="宋体" w:hAnsi="宋体" w:cs="Arial"/>
          <w:sz w:val="30"/>
          <w:szCs w:val="30"/>
        </w:rPr>
        <w:t>20</w:t>
      </w:r>
      <w:r>
        <w:rPr>
          <w:rFonts w:hint="eastAsia" w:ascii="宋体" w:hAnsi="宋体" w:cs="Arial"/>
          <w:sz w:val="30"/>
          <w:szCs w:val="30"/>
        </w:rPr>
        <w:t>22</w:t>
      </w:r>
      <w:r>
        <w:rPr>
          <w:rFonts w:ascii="宋体" w:hAnsi="宋体" w:cs="Arial"/>
          <w:sz w:val="30"/>
          <w:szCs w:val="30"/>
        </w:rPr>
        <w:t>年</w:t>
      </w:r>
      <w:r>
        <w:rPr>
          <w:rFonts w:hint="eastAsia" w:ascii="宋体" w:hAnsi="宋体" w:cs="Arial"/>
          <w:sz w:val="30"/>
          <w:szCs w:val="30"/>
        </w:rPr>
        <w:t>7</w:t>
      </w:r>
      <w:r>
        <w:rPr>
          <w:rFonts w:ascii="宋体" w:hAnsi="宋体" w:cs="Arial"/>
          <w:sz w:val="30"/>
          <w:szCs w:val="30"/>
        </w:rPr>
        <w:t>月</w:t>
      </w:r>
      <w:r>
        <w:rPr>
          <w:rFonts w:hint="eastAsia" w:ascii="宋体" w:hAnsi="宋体" w:cs="Arial"/>
          <w:sz w:val="30"/>
          <w:szCs w:val="30"/>
        </w:rPr>
        <w:t>19日</w:t>
      </w:r>
      <w:r>
        <w:rPr>
          <w:rFonts w:ascii="宋体" w:hAnsi="宋体" w:cs="Arial"/>
          <w:sz w:val="30"/>
          <w:szCs w:val="30"/>
        </w:rPr>
        <w:t>—</w:t>
      </w:r>
      <w:r>
        <w:rPr>
          <w:rFonts w:hint="eastAsia" w:ascii="宋体" w:hAnsi="宋体" w:cs="Arial"/>
          <w:sz w:val="30"/>
          <w:szCs w:val="30"/>
        </w:rPr>
        <w:t>21</w:t>
      </w:r>
      <w:r>
        <w:rPr>
          <w:rFonts w:ascii="宋体" w:hAnsi="宋体" w:cs="Arial"/>
          <w:sz w:val="30"/>
          <w:szCs w:val="30"/>
        </w:rPr>
        <w:t>日</w:t>
      </w:r>
      <w:r>
        <w:rPr>
          <w:rFonts w:hint="eastAsia" w:ascii="宋体" w:hAnsi="宋体" w:cs="Arial"/>
          <w:sz w:val="30"/>
          <w:szCs w:val="30"/>
        </w:rPr>
        <w:t xml:space="preserve">（19日全天报到） </w:t>
      </w:r>
      <w:r>
        <w:rPr>
          <w:rFonts w:ascii="宋体" w:hAnsi="宋体" w:cs="Arial"/>
          <w:sz w:val="30"/>
          <w:szCs w:val="30"/>
        </w:rPr>
        <w:t>地</w:t>
      </w:r>
      <w:r>
        <w:rPr>
          <w:rFonts w:hint="eastAsia" w:ascii="宋体" w:hAnsi="宋体" w:cs="Arial"/>
          <w:sz w:val="30"/>
          <w:szCs w:val="30"/>
        </w:rPr>
        <w:t xml:space="preserve"> </w:t>
      </w:r>
      <w:r>
        <w:rPr>
          <w:rFonts w:ascii="宋体" w:hAnsi="宋体" w:cs="Arial"/>
          <w:sz w:val="30"/>
          <w:szCs w:val="30"/>
        </w:rPr>
        <w:t>点：苏州</w:t>
      </w:r>
      <w:r>
        <w:rPr>
          <w:rFonts w:hint="eastAsia" w:ascii="宋体" w:hAnsi="宋体" w:cs="Arial"/>
          <w:sz w:val="30"/>
          <w:szCs w:val="30"/>
        </w:rPr>
        <w:t>-苏哥利大酒店</w:t>
      </w:r>
    </w:p>
    <w:p>
      <w:pPr>
        <w:spacing w:line="400" w:lineRule="exact"/>
        <w:rPr>
          <w:rFonts w:ascii="Arial" w:hAnsi="Arial" w:cs="Arial"/>
          <w:b/>
          <w:sz w:val="36"/>
          <w:szCs w:val="36"/>
        </w:rPr>
      </w:pPr>
      <w:r>
        <w:rPr>
          <w:rFonts w:hint="eastAsia" w:ascii="Arial" w:hAnsi="Arial" w:cs="Arial"/>
          <w:b/>
          <w:sz w:val="32"/>
          <w:szCs w:val="32"/>
        </w:rPr>
        <w:t>二、</w:t>
      </w:r>
      <w:r>
        <w:rPr>
          <w:rFonts w:hint="eastAsia" w:ascii="Arial" w:hAnsi="Arial" w:cs="Arial"/>
          <w:b/>
          <w:sz w:val="32"/>
          <w:szCs w:val="32"/>
          <w:highlight w:val="red"/>
        </w:rPr>
        <w:t>课程设置（此培训内容线上、线下+录播+无限回看）</w:t>
      </w:r>
    </w:p>
    <w:p>
      <w:pPr>
        <w:spacing w:line="400" w:lineRule="exact"/>
        <w:jc w:val="left"/>
        <w:rPr>
          <w:rFonts w:ascii="Arial" w:hAnsi="Arial" w:cs="Arial"/>
          <w:b/>
          <w:sz w:val="32"/>
          <w:szCs w:val="32"/>
        </w:rPr>
      </w:pPr>
      <w:r>
        <w:rPr>
          <w:rFonts w:hint="eastAsia" w:ascii="Arial" w:hAnsi="Arial" w:cs="Arial"/>
          <w:b/>
          <w:sz w:val="32"/>
          <w:szCs w:val="32"/>
        </w:rPr>
        <w:t xml:space="preserve">    1、供应链金融业务初解</w:t>
      </w:r>
    </w:p>
    <w:p>
      <w:pPr>
        <w:spacing w:line="400" w:lineRule="exact"/>
        <w:rPr>
          <w:rFonts w:ascii="宋体" w:hAnsi="宋体" w:cs="Arial"/>
          <w:sz w:val="32"/>
          <w:szCs w:val="32"/>
        </w:rPr>
      </w:pPr>
      <w:r>
        <w:rPr>
          <w:rFonts w:hint="eastAsia" w:ascii="宋体" w:hAnsi="宋体" w:cs="Arial"/>
          <w:sz w:val="32"/>
          <w:szCs w:val="32"/>
        </w:rPr>
        <w:t xml:space="preserve">      1.供应链金融的概念</w:t>
      </w:r>
    </w:p>
    <w:p>
      <w:pPr>
        <w:spacing w:line="400" w:lineRule="exact"/>
        <w:rPr>
          <w:rFonts w:ascii="宋体" w:hAnsi="宋体" w:cs="Arial"/>
          <w:sz w:val="32"/>
          <w:szCs w:val="32"/>
        </w:rPr>
      </w:pPr>
      <w:r>
        <w:rPr>
          <w:rFonts w:hint="eastAsia" w:ascii="宋体" w:hAnsi="宋体" w:cs="Arial"/>
          <w:sz w:val="32"/>
          <w:szCs w:val="32"/>
        </w:rPr>
        <w:t xml:space="preserve">      2.供应链金融与非供应链金融的区别</w:t>
      </w:r>
    </w:p>
    <w:p>
      <w:pPr>
        <w:spacing w:line="400" w:lineRule="exact"/>
        <w:rPr>
          <w:rFonts w:ascii="宋体" w:hAnsi="宋体" w:cs="Arial"/>
          <w:sz w:val="32"/>
          <w:szCs w:val="32"/>
        </w:rPr>
      </w:pPr>
      <w:r>
        <w:rPr>
          <w:rFonts w:hint="eastAsia" w:ascii="宋体" w:hAnsi="宋体" w:cs="Arial"/>
          <w:sz w:val="32"/>
          <w:szCs w:val="32"/>
        </w:rPr>
        <w:t xml:space="preserve">      3.供应链金融的基本要素分析</w:t>
      </w:r>
    </w:p>
    <w:p>
      <w:pPr>
        <w:spacing w:line="400" w:lineRule="exact"/>
        <w:rPr>
          <w:rFonts w:ascii="宋体" w:hAnsi="宋体" w:cs="Arial"/>
          <w:sz w:val="32"/>
          <w:szCs w:val="32"/>
        </w:rPr>
      </w:pPr>
      <w:r>
        <w:rPr>
          <w:rFonts w:hint="eastAsia" w:ascii="宋体" w:hAnsi="宋体" w:cs="Arial"/>
          <w:sz w:val="32"/>
          <w:szCs w:val="32"/>
        </w:rPr>
        <w:t xml:space="preserve">      4.供应链金融的特点分析</w:t>
      </w:r>
    </w:p>
    <w:p>
      <w:pPr>
        <w:spacing w:line="400" w:lineRule="exact"/>
        <w:rPr>
          <w:rFonts w:ascii="宋体" w:hAnsi="宋体" w:cs="Arial"/>
          <w:sz w:val="32"/>
          <w:szCs w:val="32"/>
        </w:rPr>
      </w:pPr>
      <w:r>
        <w:rPr>
          <w:rFonts w:hint="eastAsia" w:ascii="宋体" w:hAnsi="宋体" w:cs="Arial"/>
          <w:sz w:val="32"/>
          <w:szCs w:val="32"/>
        </w:rPr>
        <w:t xml:space="preserve">      5.供应链金融业务的本质</w:t>
      </w:r>
    </w:p>
    <w:p>
      <w:pPr>
        <w:spacing w:line="400" w:lineRule="exact"/>
        <w:jc w:val="left"/>
        <w:rPr>
          <w:rFonts w:ascii="Arial" w:hAnsi="Arial" w:cs="Arial"/>
          <w:b/>
          <w:sz w:val="32"/>
          <w:szCs w:val="32"/>
        </w:rPr>
      </w:pPr>
      <w:r>
        <w:rPr>
          <w:rFonts w:hint="eastAsia" w:ascii="Arial" w:hAnsi="Arial" w:cs="Arial"/>
          <w:b/>
          <w:sz w:val="32"/>
          <w:szCs w:val="32"/>
        </w:rPr>
        <w:t xml:space="preserve">    2、供应链金融主要的业务品种</w:t>
      </w:r>
    </w:p>
    <w:p>
      <w:pPr>
        <w:spacing w:line="400" w:lineRule="exact"/>
        <w:rPr>
          <w:rFonts w:ascii="宋体" w:hAnsi="宋体" w:cs="Arial"/>
          <w:sz w:val="32"/>
          <w:szCs w:val="32"/>
        </w:rPr>
      </w:pPr>
      <w:r>
        <w:rPr>
          <w:rFonts w:hint="eastAsia" w:ascii="宋体" w:hAnsi="宋体" w:cs="Arial"/>
          <w:sz w:val="32"/>
          <w:szCs w:val="32"/>
        </w:rPr>
        <w:t xml:space="preserve">     1.仓单质押</w:t>
      </w:r>
    </w:p>
    <w:p>
      <w:pPr>
        <w:spacing w:line="400" w:lineRule="exact"/>
        <w:rPr>
          <w:rFonts w:ascii="宋体" w:hAnsi="宋体" w:cs="Arial"/>
          <w:sz w:val="32"/>
          <w:szCs w:val="32"/>
        </w:rPr>
      </w:pPr>
      <w:r>
        <w:rPr>
          <w:rFonts w:hint="eastAsia" w:ascii="宋体" w:hAnsi="宋体" w:cs="Arial"/>
          <w:sz w:val="32"/>
          <w:szCs w:val="32"/>
        </w:rPr>
        <w:t xml:space="preserve">     2.保兑仓</w:t>
      </w:r>
    </w:p>
    <w:p>
      <w:pPr>
        <w:spacing w:line="400" w:lineRule="exact"/>
        <w:rPr>
          <w:rFonts w:ascii="宋体" w:hAnsi="宋体" w:cs="Arial"/>
          <w:sz w:val="32"/>
          <w:szCs w:val="32"/>
        </w:rPr>
      </w:pPr>
      <w:r>
        <w:rPr>
          <w:rFonts w:hint="eastAsia" w:ascii="宋体" w:hAnsi="宋体" w:cs="Arial"/>
          <w:sz w:val="32"/>
          <w:szCs w:val="32"/>
        </w:rPr>
        <w:t xml:space="preserve">     3.融通仓</w:t>
      </w:r>
    </w:p>
    <w:p>
      <w:pPr>
        <w:spacing w:line="400" w:lineRule="exact"/>
        <w:rPr>
          <w:rFonts w:ascii="宋体" w:hAnsi="宋体" w:cs="Arial"/>
          <w:sz w:val="32"/>
          <w:szCs w:val="32"/>
        </w:rPr>
      </w:pPr>
      <w:r>
        <w:rPr>
          <w:rFonts w:hint="eastAsia" w:ascii="宋体" w:hAnsi="宋体" w:cs="Arial"/>
          <w:sz w:val="32"/>
          <w:szCs w:val="32"/>
        </w:rPr>
        <w:t xml:space="preserve">     4.信用证下货权质押</w:t>
      </w:r>
    </w:p>
    <w:p>
      <w:pPr>
        <w:spacing w:line="400" w:lineRule="exact"/>
        <w:jc w:val="left"/>
        <w:rPr>
          <w:rFonts w:ascii="Arial" w:hAnsi="Arial" w:cs="Arial"/>
          <w:b/>
          <w:sz w:val="32"/>
          <w:szCs w:val="32"/>
        </w:rPr>
      </w:pPr>
      <w:r>
        <w:rPr>
          <w:rFonts w:hint="eastAsia" w:ascii="Arial" w:hAnsi="Arial" w:cs="Arial"/>
          <w:b/>
          <w:sz w:val="32"/>
          <w:szCs w:val="32"/>
        </w:rPr>
        <w:t xml:space="preserve">    3．供应链金融的业务价值</w:t>
      </w:r>
    </w:p>
    <w:p>
      <w:pPr>
        <w:spacing w:line="400" w:lineRule="exact"/>
        <w:rPr>
          <w:rFonts w:ascii="宋体" w:hAnsi="宋体" w:cs="Arial"/>
          <w:sz w:val="32"/>
          <w:szCs w:val="32"/>
        </w:rPr>
      </w:pPr>
      <w:r>
        <w:rPr>
          <w:rFonts w:hint="eastAsia" w:ascii="宋体" w:hAnsi="宋体" w:cs="Arial"/>
          <w:sz w:val="32"/>
          <w:szCs w:val="32"/>
        </w:rPr>
        <w:t xml:space="preserve">     1.从业务供需方来看</w:t>
      </w:r>
    </w:p>
    <w:p>
      <w:pPr>
        <w:spacing w:line="400" w:lineRule="exact"/>
        <w:rPr>
          <w:rFonts w:ascii="宋体" w:hAnsi="宋体" w:cs="Arial"/>
          <w:sz w:val="32"/>
          <w:szCs w:val="32"/>
        </w:rPr>
      </w:pPr>
      <w:r>
        <w:rPr>
          <w:rFonts w:hint="eastAsia" w:ascii="宋体" w:hAnsi="宋体" w:cs="Arial"/>
          <w:sz w:val="32"/>
          <w:szCs w:val="32"/>
        </w:rPr>
        <w:t xml:space="preserve">     2.从供应链环节来看</w:t>
      </w:r>
    </w:p>
    <w:p>
      <w:pPr>
        <w:spacing w:line="400" w:lineRule="exact"/>
        <w:rPr>
          <w:rFonts w:ascii="宋体" w:hAnsi="宋体" w:cs="Arial"/>
          <w:sz w:val="32"/>
          <w:szCs w:val="32"/>
        </w:rPr>
      </w:pPr>
      <w:r>
        <w:rPr>
          <w:rFonts w:hint="eastAsia" w:ascii="宋体" w:hAnsi="宋体" w:cs="Arial"/>
          <w:sz w:val="32"/>
          <w:szCs w:val="32"/>
        </w:rPr>
        <w:t xml:space="preserve">     3.业务价值发展趋势</w:t>
      </w:r>
    </w:p>
    <w:p>
      <w:pPr>
        <w:spacing w:line="400" w:lineRule="exact"/>
        <w:jc w:val="left"/>
        <w:rPr>
          <w:rFonts w:ascii="Arial" w:hAnsi="Arial" w:cs="Arial"/>
          <w:b/>
          <w:sz w:val="32"/>
          <w:szCs w:val="32"/>
        </w:rPr>
      </w:pPr>
      <w:r>
        <w:rPr>
          <w:rFonts w:hint="eastAsia" w:ascii="Arial" w:hAnsi="Arial" w:cs="Arial"/>
          <w:b/>
          <w:sz w:val="32"/>
          <w:szCs w:val="32"/>
        </w:rPr>
        <w:t xml:space="preserve">    4、供应链金融业务的销售办法</w:t>
      </w:r>
    </w:p>
    <w:p>
      <w:pPr>
        <w:spacing w:line="400" w:lineRule="exact"/>
        <w:rPr>
          <w:rFonts w:ascii="宋体" w:hAnsi="宋体" w:cs="Arial"/>
          <w:sz w:val="32"/>
          <w:szCs w:val="32"/>
        </w:rPr>
      </w:pPr>
      <w:r>
        <w:rPr>
          <w:rFonts w:hint="eastAsia" w:ascii="宋体" w:hAnsi="宋体" w:cs="Arial"/>
          <w:sz w:val="32"/>
          <w:szCs w:val="32"/>
        </w:rPr>
        <w:t xml:space="preserve">     1.同类行业销售的基本办法</w:t>
      </w:r>
    </w:p>
    <w:p>
      <w:pPr>
        <w:spacing w:line="400" w:lineRule="exact"/>
        <w:rPr>
          <w:rFonts w:ascii="宋体" w:hAnsi="宋体" w:cs="Arial"/>
          <w:sz w:val="32"/>
          <w:szCs w:val="32"/>
        </w:rPr>
      </w:pPr>
      <w:r>
        <w:rPr>
          <w:rFonts w:hint="eastAsia" w:ascii="宋体" w:hAnsi="宋体" w:cs="Arial"/>
          <w:sz w:val="32"/>
          <w:szCs w:val="32"/>
        </w:rPr>
        <w:t xml:space="preserve">      1）建立客户储备库</w:t>
      </w:r>
    </w:p>
    <w:p>
      <w:pPr>
        <w:spacing w:line="400" w:lineRule="exact"/>
        <w:rPr>
          <w:rFonts w:ascii="宋体" w:hAnsi="宋体" w:cs="Arial"/>
          <w:sz w:val="32"/>
          <w:szCs w:val="32"/>
        </w:rPr>
      </w:pPr>
      <w:r>
        <w:rPr>
          <w:rFonts w:hint="eastAsia" w:ascii="宋体" w:hAnsi="宋体" w:cs="Arial"/>
          <w:sz w:val="32"/>
          <w:szCs w:val="32"/>
        </w:rPr>
        <w:t xml:space="preserve">      2）把握重点市场领域，推进产品创新和模式转型</w:t>
      </w:r>
    </w:p>
    <w:p>
      <w:pPr>
        <w:spacing w:line="400" w:lineRule="exact"/>
        <w:rPr>
          <w:rFonts w:ascii="宋体" w:hAnsi="宋体" w:cs="Arial"/>
          <w:sz w:val="32"/>
          <w:szCs w:val="32"/>
        </w:rPr>
      </w:pPr>
      <w:r>
        <w:rPr>
          <w:rFonts w:hint="eastAsia" w:ascii="宋体" w:hAnsi="宋体" w:cs="Arial"/>
          <w:sz w:val="32"/>
          <w:szCs w:val="32"/>
        </w:rPr>
        <w:t xml:space="preserve">      3）加强业务指导，培养专业人才</w:t>
      </w:r>
    </w:p>
    <w:p>
      <w:pPr>
        <w:spacing w:line="400" w:lineRule="exact"/>
        <w:rPr>
          <w:rFonts w:ascii="宋体" w:hAnsi="宋体" w:cs="Arial"/>
          <w:sz w:val="32"/>
          <w:szCs w:val="32"/>
        </w:rPr>
      </w:pPr>
      <w:r>
        <w:rPr>
          <w:rFonts w:hint="eastAsia" w:ascii="宋体" w:hAnsi="宋体" w:cs="Arial"/>
          <w:sz w:val="32"/>
          <w:szCs w:val="32"/>
        </w:rPr>
        <w:t xml:space="preserve">      4）制度倾斜，鼓励发展方向</w:t>
      </w:r>
    </w:p>
    <w:p>
      <w:pPr>
        <w:spacing w:line="400" w:lineRule="exact"/>
        <w:rPr>
          <w:rFonts w:ascii="宋体" w:hAnsi="宋体" w:cs="Arial"/>
          <w:sz w:val="32"/>
          <w:szCs w:val="32"/>
        </w:rPr>
      </w:pPr>
      <w:r>
        <w:rPr>
          <w:rFonts w:hint="eastAsia" w:ascii="宋体" w:hAnsi="宋体" w:cs="Arial"/>
          <w:sz w:val="32"/>
          <w:szCs w:val="32"/>
        </w:rPr>
        <w:t xml:space="preserve">     2.跨行业销售的基本办法</w:t>
      </w:r>
    </w:p>
    <w:p>
      <w:pPr>
        <w:spacing w:line="400" w:lineRule="exact"/>
        <w:rPr>
          <w:rFonts w:ascii="宋体" w:hAnsi="宋体" w:cs="Arial"/>
          <w:sz w:val="32"/>
          <w:szCs w:val="32"/>
        </w:rPr>
      </w:pPr>
      <w:r>
        <w:rPr>
          <w:rFonts w:hint="eastAsia" w:ascii="宋体" w:hAnsi="宋体" w:cs="Arial"/>
          <w:sz w:val="32"/>
          <w:szCs w:val="32"/>
        </w:rPr>
        <w:t xml:space="preserve">      1）搜集目标客户信息</w:t>
      </w:r>
    </w:p>
    <w:p>
      <w:pPr>
        <w:spacing w:line="400" w:lineRule="exact"/>
        <w:rPr>
          <w:rFonts w:ascii="宋体" w:hAnsi="宋体" w:cs="Arial"/>
          <w:sz w:val="32"/>
          <w:szCs w:val="32"/>
        </w:rPr>
      </w:pPr>
      <w:r>
        <w:rPr>
          <w:rFonts w:hint="eastAsia" w:ascii="宋体" w:hAnsi="宋体" w:cs="Arial"/>
          <w:sz w:val="32"/>
          <w:szCs w:val="32"/>
        </w:rPr>
        <w:t xml:space="preserve">      2）编制商务方案和操作方案</w:t>
      </w:r>
    </w:p>
    <w:p>
      <w:pPr>
        <w:spacing w:line="400" w:lineRule="exact"/>
        <w:rPr>
          <w:rFonts w:ascii="宋体" w:hAnsi="宋体" w:cs="Arial"/>
          <w:sz w:val="32"/>
          <w:szCs w:val="32"/>
        </w:rPr>
      </w:pPr>
      <w:r>
        <w:rPr>
          <w:rFonts w:hint="eastAsia" w:ascii="宋体" w:hAnsi="宋体" w:cs="Arial"/>
          <w:sz w:val="32"/>
          <w:szCs w:val="32"/>
        </w:rPr>
        <w:t xml:space="preserve">     3.建立与银行共同的营销关系</w:t>
      </w:r>
    </w:p>
    <w:p>
      <w:pPr>
        <w:spacing w:line="400" w:lineRule="exact"/>
        <w:rPr>
          <w:rFonts w:ascii="宋体" w:hAnsi="宋体" w:cs="Arial"/>
          <w:sz w:val="32"/>
          <w:szCs w:val="32"/>
        </w:rPr>
      </w:pPr>
      <w:r>
        <w:rPr>
          <w:rFonts w:hint="eastAsia" w:ascii="宋体" w:hAnsi="宋体" w:cs="Arial"/>
          <w:sz w:val="32"/>
          <w:szCs w:val="32"/>
        </w:rPr>
        <w:t xml:space="preserve">      1）合作共赢的理念</w:t>
      </w:r>
    </w:p>
    <w:p>
      <w:pPr>
        <w:spacing w:line="400" w:lineRule="exact"/>
        <w:rPr>
          <w:rFonts w:ascii="宋体" w:hAnsi="宋体" w:cs="Arial"/>
          <w:sz w:val="32"/>
          <w:szCs w:val="32"/>
        </w:rPr>
      </w:pPr>
      <w:r>
        <w:rPr>
          <w:rFonts w:hint="eastAsia" w:ascii="宋体" w:hAnsi="宋体" w:cs="Arial"/>
          <w:sz w:val="32"/>
          <w:szCs w:val="32"/>
        </w:rPr>
        <w:t xml:space="preserve">      2）货物的所有权审定</w:t>
      </w:r>
    </w:p>
    <w:p>
      <w:pPr>
        <w:spacing w:line="400" w:lineRule="exact"/>
        <w:rPr>
          <w:rFonts w:ascii="宋体" w:hAnsi="宋体" w:cs="Arial"/>
          <w:sz w:val="32"/>
          <w:szCs w:val="32"/>
        </w:rPr>
      </w:pPr>
      <w:r>
        <w:rPr>
          <w:rFonts w:hint="eastAsia" w:ascii="宋体" w:hAnsi="宋体" w:cs="Arial"/>
          <w:sz w:val="32"/>
          <w:szCs w:val="32"/>
        </w:rPr>
        <w:t xml:space="preserve">      3）货物的价格确定</w:t>
      </w:r>
    </w:p>
    <w:p>
      <w:pPr>
        <w:spacing w:line="400" w:lineRule="exact"/>
        <w:rPr>
          <w:rFonts w:ascii="宋体" w:hAnsi="宋体" w:cs="Arial"/>
          <w:sz w:val="32"/>
          <w:szCs w:val="32"/>
        </w:rPr>
      </w:pPr>
      <w:r>
        <w:rPr>
          <w:rFonts w:hint="eastAsia" w:ascii="宋体" w:hAnsi="宋体" w:cs="Arial"/>
          <w:sz w:val="32"/>
          <w:szCs w:val="32"/>
        </w:rPr>
        <w:t xml:space="preserve">      4）合作中的利益分配关系</w:t>
      </w:r>
    </w:p>
    <w:p>
      <w:pPr>
        <w:spacing w:line="400" w:lineRule="exact"/>
        <w:jc w:val="left"/>
        <w:rPr>
          <w:rFonts w:ascii="Arial" w:hAnsi="Arial" w:cs="Arial"/>
          <w:b/>
          <w:sz w:val="32"/>
          <w:szCs w:val="32"/>
        </w:rPr>
      </w:pPr>
      <w:r>
        <w:rPr>
          <w:rFonts w:hint="eastAsia" w:ascii="Arial" w:hAnsi="Arial" w:cs="Arial"/>
          <w:b/>
          <w:sz w:val="32"/>
          <w:szCs w:val="32"/>
        </w:rPr>
        <w:t xml:space="preserve">    5、供应链金融业务的风险及其控制手段</w:t>
      </w:r>
    </w:p>
    <w:p>
      <w:pPr>
        <w:spacing w:line="400" w:lineRule="exact"/>
        <w:rPr>
          <w:rFonts w:ascii="宋体" w:hAnsi="宋体" w:cs="Arial"/>
          <w:sz w:val="32"/>
          <w:szCs w:val="32"/>
        </w:rPr>
      </w:pPr>
      <w:r>
        <w:rPr>
          <w:rFonts w:hint="eastAsia" w:ascii="宋体" w:hAnsi="宋体" w:cs="Arial"/>
          <w:sz w:val="32"/>
          <w:szCs w:val="32"/>
        </w:rPr>
        <w:t xml:space="preserve">     1.供应链金融业务的相关风险</w:t>
      </w:r>
    </w:p>
    <w:p>
      <w:pPr>
        <w:spacing w:line="400" w:lineRule="exact"/>
        <w:rPr>
          <w:rFonts w:ascii="宋体" w:hAnsi="宋体" w:cs="Arial"/>
          <w:sz w:val="32"/>
          <w:szCs w:val="32"/>
        </w:rPr>
      </w:pPr>
      <w:r>
        <w:rPr>
          <w:rFonts w:hint="eastAsia" w:ascii="宋体" w:hAnsi="宋体" w:cs="Arial"/>
          <w:sz w:val="32"/>
          <w:szCs w:val="32"/>
        </w:rPr>
        <w:t xml:space="preserve">      1）核心企业信用风险</w:t>
      </w:r>
    </w:p>
    <w:p>
      <w:pPr>
        <w:spacing w:line="400" w:lineRule="exact"/>
        <w:rPr>
          <w:rFonts w:ascii="宋体" w:hAnsi="宋体" w:cs="Arial"/>
          <w:sz w:val="32"/>
          <w:szCs w:val="32"/>
        </w:rPr>
      </w:pPr>
      <w:r>
        <w:rPr>
          <w:rFonts w:hint="eastAsia" w:ascii="宋体" w:hAnsi="宋体" w:cs="Arial"/>
          <w:sz w:val="32"/>
          <w:szCs w:val="32"/>
        </w:rPr>
        <w:t xml:space="preserve">      2）上下游企业信用风险</w:t>
      </w:r>
    </w:p>
    <w:p>
      <w:pPr>
        <w:spacing w:line="400" w:lineRule="exact"/>
        <w:rPr>
          <w:rFonts w:ascii="宋体" w:hAnsi="宋体" w:cs="Arial"/>
          <w:sz w:val="32"/>
          <w:szCs w:val="32"/>
        </w:rPr>
      </w:pPr>
      <w:r>
        <w:rPr>
          <w:rFonts w:hint="eastAsia" w:ascii="宋体" w:hAnsi="宋体" w:cs="Arial"/>
          <w:sz w:val="32"/>
          <w:szCs w:val="32"/>
        </w:rPr>
        <w:t xml:space="preserve">      3）贸易背景真实性风险</w:t>
      </w:r>
    </w:p>
    <w:p>
      <w:pPr>
        <w:spacing w:line="400" w:lineRule="exact"/>
        <w:rPr>
          <w:rFonts w:ascii="宋体" w:hAnsi="宋体" w:cs="Arial"/>
          <w:sz w:val="32"/>
          <w:szCs w:val="32"/>
        </w:rPr>
      </w:pPr>
      <w:r>
        <w:rPr>
          <w:rFonts w:hint="eastAsia" w:ascii="宋体" w:hAnsi="宋体" w:cs="Arial"/>
          <w:sz w:val="32"/>
          <w:szCs w:val="32"/>
        </w:rPr>
        <w:t xml:space="preserve">      4）业务操作风险</w:t>
      </w:r>
    </w:p>
    <w:p>
      <w:pPr>
        <w:spacing w:line="400" w:lineRule="exact"/>
        <w:rPr>
          <w:rFonts w:ascii="宋体" w:hAnsi="宋体" w:cs="Arial"/>
          <w:sz w:val="32"/>
          <w:szCs w:val="32"/>
        </w:rPr>
      </w:pPr>
      <w:r>
        <w:rPr>
          <w:rFonts w:hint="eastAsia" w:ascii="宋体" w:hAnsi="宋体" w:cs="Arial"/>
          <w:sz w:val="32"/>
          <w:szCs w:val="32"/>
        </w:rPr>
        <w:t xml:space="preserve">      5）物流监管方风险</w:t>
      </w:r>
    </w:p>
    <w:p>
      <w:pPr>
        <w:spacing w:line="400" w:lineRule="exact"/>
        <w:rPr>
          <w:rFonts w:ascii="宋体" w:hAnsi="宋体" w:cs="Arial"/>
          <w:sz w:val="32"/>
          <w:szCs w:val="32"/>
        </w:rPr>
      </w:pPr>
      <w:r>
        <w:rPr>
          <w:rFonts w:hint="eastAsia" w:ascii="宋体" w:hAnsi="宋体" w:cs="Arial"/>
          <w:sz w:val="32"/>
          <w:szCs w:val="32"/>
        </w:rPr>
        <w:t xml:space="preserve">      6）抵质押资产风险</w:t>
      </w:r>
    </w:p>
    <w:p>
      <w:pPr>
        <w:spacing w:line="400" w:lineRule="exact"/>
        <w:rPr>
          <w:rFonts w:ascii="宋体" w:hAnsi="宋体" w:cs="Arial"/>
          <w:sz w:val="32"/>
          <w:szCs w:val="32"/>
        </w:rPr>
      </w:pPr>
      <w:r>
        <w:rPr>
          <w:rFonts w:hint="eastAsia" w:ascii="宋体" w:hAnsi="宋体" w:cs="Arial"/>
          <w:sz w:val="32"/>
          <w:szCs w:val="32"/>
        </w:rPr>
        <w:t xml:space="preserve">     2.供应链金融业务的风险控制手段</w:t>
      </w:r>
    </w:p>
    <w:p>
      <w:pPr>
        <w:spacing w:line="400" w:lineRule="exact"/>
        <w:rPr>
          <w:rFonts w:ascii="宋体" w:hAnsi="宋体" w:cs="Arial"/>
          <w:sz w:val="32"/>
          <w:szCs w:val="32"/>
        </w:rPr>
      </w:pPr>
      <w:r>
        <w:rPr>
          <w:rFonts w:hint="eastAsia" w:ascii="宋体" w:hAnsi="宋体" w:cs="Arial"/>
          <w:sz w:val="32"/>
          <w:szCs w:val="32"/>
        </w:rPr>
        <w:t xml:space="preserve">      1）创建独立的风险管理体系</w:t>
      </w:r>
    </w:p>
    <w:p>
      <w:pPr>
        <w:spacing w:line="400" w:lineRule="exact"/>
        <w:rPr>
          <w:rFonts w:ascii="宋体" w:hAnsi="宋体" w:cs="Arial"/>
          <w:sz w:val="32"/>
          <w:szCs w:val="32"/>
        </w:rPr>
      </w:pPr>
      <w:r>
        <w:rPr>
          <w:rFonts w:hint="eastAsia" w:ascii="宋体" w:hAnsi="宋体" w:cs="Arial"/>
          <w:sz w:val="32"/>
          <w:szCs w:val="32"/>
        </w:rPr>
        <w:t xml:space="preserve">      2）审慎选择供应链群</w:t>
      </w:r>
    </w:p>
    <w:p>
      <w:pPr>
        <w:spacing w:line="400" w:lineRule="exact"/>
        <w:rPr>
          <w:rFonts w:ascii="宋体" w:hAnsi="宋体" w:cs="Arial"/>
          <w:sz w:val="32"/>
          <w:szCs w:val="32"/>
        </w:rPr>
      </w:pPr>
      <w:r>
        <w:rPr>
          <w:rFonts w:hint="eastAsia" w:ascii="宋体" w:hAnsi="宋体" w:cs="Arial"/>
          <w:sz w:val="32"/>
          <w:szCs w:val="32"/>
        </w:rPr>
        <w:t xml:space="preserve">      3)建立快速的市场商品信息收集和反馈体系</w:t>
      </w:r>
    </w:p>
    <w:p>
      <w:pPr>
        <w:spacing w:line="400" w:lineRule="exact"/>
        <w:rPr>
          <w:rFonts w:ascii="宋体" w:hAnsi="宋体" w:cs="Arial"/>
          <w:sz w:val="32"/>
          <w:szCs w:val="32"/>
        </w:rPr>
      </w:pPr>
      <w:r>
        <w:rPr>
          <w:rFonts w:hint="eastAsia" w:ascii="宋体" w:hAnsi="宋体" w:cs="Arial"/>
          <w:sz w:val="32"/>
          <w:szCs w:val="32"/>
        </w:rPr>
        <w:t xml:space="preserve">      4）强化控制，防止操作风险</w:t>
      </w:r>
    </w:p>
    <w:p>
      <w:pPr>
        <w:spacing w:line="400" w:lineRule="exact"/>
        <w:rPr>
          <w:rFonts w:ascii="宋体" w:hAnsi="宋体" w:cs="Arial"/>
          <w:sz w:val="32"/>
          <w:szCs w:val="32"/>
        </w:rPr>
      </w:pPr>
      <w:r>
        <w:rPr>
          <w:rFonts w:hint="eastAsia" w:ascii="宋体" w:hAnsi="宋体" w:cs="Arial"/>
          <w:sz w:val="32"/>
          <w:szCs w:val="32"/>
        </w:rPr>
        <w:t xml:space="preserve">      5）明确权利义务，降低法律风险</w:t>
      </w:r>
    </w:p>
    <w:p>
      <w:pPr>
        <w:spacing w:line="400" w:lineRule="exact"/>
        <w:rPr>
          <w:rFonts w:ascii="宋体" w:hAnsi="宋体" w:cs="Arial"/>
          <w:sz w:val="32"/>
          <w:szCs w:val="32"/>
        </w:rPr>
      </w:pPr>
      <w:r>
        <w:rPr>
          <w:rFonts w:hint="eastAsia" w:ascii="宋体" w:hAnsi="宋体" w:cs="Arial"/>
          <w:sz w:val="32"/>
          <w:szCs w:val="32"/>
        </w:rPr>
        <w:t xml:space="preserve">      6）建立供应链金融风险评估模型</w:t>
      </w:r>
    </w:p>
    <w:p>
      <w:pPr>
        <w:spacing w:line="400" w:lineRule="exact"/>
        <w:rPr>
          <w:rFonts w:ascii="宋体" w:hAnsi="宋体" w:cs="Arial"/>
          <w:sz w:val="32"/>
          <w:szCs w:val="32"/>
        </w:rPr>
      </w:pPr>
      <w:r>
        <w:rPr>
          <w:rFonts w:hint="eastAsia" w:ascii="宋体" w:hAnsi="宋体" w:cs="Arial"/>
          <w:sz w:val="32"/>
          <w:szCs w:val="32"/>
        </w:rPr>
        <w:t xml:space="preserve">      7）组建专业操作团队</w:t>
      </w:r>
    </w:p>
    <w:p>
      <w:pPr>
        <w:spacing w:line="400" w:lineRule="exact"/>
        <w:jc w:val="left"/>
        <w:rPr>
          <w:rFonts w:ascii="Arial" w:hAnsi="Arial" w:cs="Arial"/>
          <w:b/>
          <w:sz w:val="32"/>
          <w:szCs w:val="32"/>
        </w:rPr>
      </w:pPr>
      <w:r>
        <w:rPr>
          <w:rFonts w:hint="eastAsia" w:ascii="Arial" w:hAnsi="Arial" w:cs="Arial"/>
          <w:b/>
          <w:sz w:val="32"/>
          <w:szCs w:val="32"/>
        </w:rPr>
        <w:t xml:space="preserve">    6、供应链金融业务中的尽职调查</w:t>
      </w:r>
    </w:p>
    <w:p>
      <w:pPr>
        <w:spacing w:line="400" w:lineRule="exact"/>
        <w:rPr>
          <w:rFonts w:ascii="宋体" w:hAnsi="宋体" w:cs="Arial"/>
          <w:sz w:val="32"/>
          <w:szCs w:val="32"/>
        </w:rPr>
      </w:pPr>
      <w:r>
        <w:rPr>
          <w:rFonts w:hint="eastAsia" w:ascii="宋体" w:hAnsi="宋体" w:cs="Arial"/>
          <w:sz w:val="32"/>
          <w:szCs w:val="32"/>
        </w:rPr>
        <w:t xml:space="preserve">     1.尽职调查概念</w:t>
      </w:r>
    </w:p>
    <w:p>
      <w:pPr>
        <w:spacing w:line="400" w:lineRule="exact"/>
        <w:rPr>
          <w:rFonts w:ascii="宋体" w:hAnsi="宋体" w:cs="Arial"/>
          <w:sz w:val="32"/>
          <w:szCs w:val="32"/>
        </w:rPr>
      </w:pPr>
      <w:r>
        <w:rPr>
          <w:rFonts w:hint="eastAsia" w:ascii="宋体" w:hAnsi="宋体" w:cs="Arial"/>
          <w:sz w:val="32"/>
          <w:szCs w:val="32"/>
        </w:rPr>
        <w:t xml:space="preserve">     2.尽职调查的原则</w:t>
      </w:r>
    </w:p>
    <w:p>
      <w:pPr>
        <w:spacing w:line="400" w:lineRule="exact"/>
        <w:rPr>
          <w:rFonts w:ascii="宋体" w:hAnsi="宋体" w:cs="Arial"/>
          <w:sz w:val="32"/>
          <w:szCs w:val="32"/>
        </w:rPr>
      </w:pPr>
      <w:r>
        <w:rPr>
          <w:rFonts w:hint="eastAsia" w:ascii="宋体" w:hAnsi="宋体" w:cs="Arial"/>
          <w:sz w:val="32"/>
          <w:szCs w:val="32"/>
        </w:rPr>
        <w:t xml:space="preserve">      1）客观性原则</w:t>
      </w:r>
    </w:p>
    <w:p>
      <w:pPr>
        <w:spacing w:line="400" w:lineRule="exact"/>
        <w:rPr>
          <w:rFonts w:ascii="宋体" w:hAnsi="宋体" w:cs="Arial"/>
          <w:sz w:val="32"/>
          <w:szCs w:val="32"/>
        </w:rPr>
      </w:pPr>
      <w:r>
        <w:rPr>
          <w:rFonts w:hint="eastAsia" w:ascii="宋体" w:hAnsi="宋体" w:cs="Arial"/>
          <w:sz w:val="32"/>
          <w:szCs w:val="32"/>
        </w:rPr>
        <w:t xml:space="preserve">      2）谨慎性原则</w:t>
      </w:r>
    </w:p>
    <w:p>
      <w:pPr>
        <w:spacing w:line="400" w:lineRule="exact"/>
        <w:rPr>
          <w:rFonts w:ascii="宋体" w:hAnsi="宋体" w:cs="Arial"/>
          <w:sz w:val="32"/>
          <w:szCs w:val="32"/>
        </w:rPr>
      </w:pPr>
      <w:r>
        <w:rPr>
          <w:rFonts w:hint="eastAsia" w:ascii="宋体" w:hAnsi="宋体" w:cs="Arial"/>
          <w:sz w:val="32"/>
          <w:szCs w:val="32"/>
        </w:rPr>
        <w:t xml:space="preserve">      3）重要性原则</w:t>
      </w:r>
    </w:p>
    <w:p>
      <w:pPr>
        <w:spacing w:line="400" w:lineRule="exact"/>
        <w:rPr>
          <w:rFonts w:ascii="宋体" w:hAnsi="宋体" w:cs="Arial"/>
          <w:sz w:val="32"/>
          <w:szCs w:val="32"/>
        </w:rPr>
      </w:pPr>
      <w:r>
        <w:rPr>
          <w:rFonts w:hint="eastAsia" w:ascii="宋体" w:hAnsi="宋体" w:cs="Arial"/>
          <w:sz w:val="32"/>
          <w:szCs w:val="32"/>
        </w:rPr>
        <w:t xml:space="preserve">     3.尽职调查的目的</w:t>
      </w:r>
    </w:p>
    <w:p>
      <w:pPr>
        <w:spacing w:line="400" w:lineRule="exact"/>
        <w:rPr>
          <w:rFonts w:ascii="宋体" w:hAnsi="宋体" w:cs="Arial"/>
          <w:sz w:val="32"/>
          <w:szCs w:val="32"/>
        </w:rPr>
      </w:pPr>
      <w:r>
        <w:rPr>
          <w:rFonts w:hint="eastAsia" w:ascii="宋体" w:hAnsi="宋体" w:cs="Arial"/>
          <w:sz w:val="32"/>
          <w:szCs w:val="32"/>
        </w:rPr>
        <w:t xml:space="preserve">      1）价值评估</w:t>
      </w:r>
    </w:p>
    <w:p>
      <w:pPr>
        <w:spacing w:line="400" w:lineRule="exact"/>
        <w:rPr>
          <w:rFonts w:ascii="宋体" w:hAnsi="宋体" w:cs="Arial"/>
          <w:sz w:val="32"/>
          <w:szCs w:val="32"/>
        </w:rPr>
      </w:pPr>
      <w:r>
        <w:rPr>
          <w:rFonts w:hint="eastAsia" w:ascii="宋体" w:hAnsi="宋体" w:cs="Arial"/>
          <w:sz w:val="32"/>
          <w:szCs w:val="32"/>
        </w:rPr>
        <w:t xml:space="preserve">      2）风险评估</w:t>
      </w:r>
    </w:p>
    <w:p>
      <w:pPr>
        <w:spacing w:line="400" w:lineRule="exact"/>
        <w:rPr>
          <w:rFonts w:ascii="宋体" w:hAnsi="宋体" w:cs="Arial"/>
          <w:sz w:val="32"/>
          <w:szCs w:val="32"/>
        </w:rPr>
      </w:pPr>
      <w:r>
        <w:rPr>
          <w:rFonts w:hint="eastAsia" w:ascii="宋体" w:hAnsi="宋体" w:cs="Arial"/>
          <w:sz w:val="32"/>
          <w:szCs w:val="32"/>
        </w:rPr>
        <w:t xml:space="preserve">      3）授信评估</w:t>
      </w:r>
    </w:p>
    <w:p>
      <w:pPr>
        <w:spacing w:line="400" w:lineRule="exact"/>
        <w:jc w:val="left"/>
        <w:rPr>
          <w:rFonts w:ascii="Arial" w:hAnsi="Arial" w:cs="Arial"/>
          <w:b/>
          <w:sz w:val="32"/>
          <w:szCs w:val="32"/>
        </w:rPr>
      </w:pPr>
      <w:r>
        <w:rPr>
          <w:rFonts w:hint="eastAsia" w:ascii="Arial" w:hAnsi="Arial" w:cs="Arial"/>
          <w:b/>
          <w:sz w:val="32"/>
          <w:szCs w:val="32"/>
        </w:rPr>
        <w:t xml:space="preserve">    7、供应链金融的发展趋势</w:t>
      </w:r>
    </w:p>
    <w:p>
      <w:pPr>
        <w:spacing w:line="400" w:lineRule="exact"/>
        <w:rPr>
          <w:rFonts w:ascii="宋体" w:hAnsi="宋体" w:cs="Arial"/>
          <w:sz w:val="32"/>
          <w:szCs w:val="32"/>
        </w:rPr>
      </w:pPr>
      <w:r>
        <w:rPr>
          <w:rFonts w:hint="eastAsia" w:ascii="宋体" w:hAnsi="宋体" w:cs="Arial"/>
          <w:sz w:val="32"/>
          <w:szCs w:val="32"/>
        </w:rPr>
        <w:t xml:space="preserve">     1.供应链金融的发展阶段</w:t>
      </w:r>
    </w:p>
    <w:p>
      <w:pPr>
        <w:spacing w:line="400" w:lineRule="exact"/>
        <w:rPr>
          <w:rFonts w:ascii="宋体" w:hAnsi="宋体" w:cs="Arial"/>
          <w:sz w:val="32"/>
          <w:szCs w:val="32"/>
        </w:rPr>
      </w:pPr>
      <w:r>
        <w:rPr>
          <w:rFonts w:hint="eastAsia" w:ascii="宋体" w:hAnsi="宋体" w:cs="Arial"/>
          <w:sz w:val="32"/>
          <w:szCs w:val="32"/>
        </w:rPr>
        <w:t xml:space="preserve">     2.供应链金融的四大发展趋势</w:t>
      </w:r>
    </w:p>
    <w:p>
      <w:pPr>
        <w:spacing w:line="400" w:lineRule="exact"/>
        <w:rPr>
          <w:rFonts w:ascii="宋体" w:hAnsi="宋体" w:cs="Arial"/>
          <w:sz w:val="32"/>
          <w:szCs w:val="32"/>
        </w:rPr>
      </w:pPr>
      <w:r>
        <w:rPr>
          <w:rFonts w:hint="eastAsia" w:ascii="宋体" w:hAnsi="宋体" w:cs="Arial"/>
          <w:sz w:val="32"/>
          <w:szCs w:val="32"/>
        </w:rPr>
        <w:t xml:space="preserve">      1）更加细分行业发展，专业化、服务精准化</w:t>
      </w:r>
    </w:p>
    <w:p>
      <w:pPr>
        <w:spacing w:line="400" w:lineRule="exact"/>
        <w:rPr>
          <w:rFonts w:ascii="宋体" w:hAnsi="宋体" w:cs="Arial"/>
          <w:sz w:val="32"/>
          <w:szCs w:val="32"/>
        </w:rPr>
      </w:pPr>
      <w:r>
        <w:rPr>
          <w:rFonts w:hint="eastAsia" w:ascii="宋体" w:hAnsi="宋体" w:cs="Arial"/>
          <w:sz w:val="32"/>
          <w:szCs w:val="32"/>
        </w:rPr>
        <w:t xml:space="preserve">      2）逐步改变原有信用评估体系</w:t>
      </w:r>
    </w:p>
    <w:p>
      <w:pPr>
        <w:spacing w:line="400" w:lineRule="exact"/>
        <w:rPr>
          <w:rFonts w:ascii="宋体" w:hAnsi="宋体" w:cs="Arial"/>
          <w:sz w:val="32"/>
          <w:szCs w:val="32"/>
        </w:rPr>
      </w:pPr>
      <w:r>
        <w:rPr>
          <w:rFonts w:hint="eastAsia" w:ascii="宋体" w:hAnsi="宋体" w:cs="Arial"/>
          <w:sz w:val="32"/>
          <w:szCs w:val="32"/>
        </w:rPr>
        <w:t xml:space="preserve">      3）大数据的充分应用</w:t>
      </w:r>
    </w:p>
    <w:p>
      <w:pPr>
        <w:spacing w:line="400" w:lineRule="exact"/>
        <w:rPr>
          <w:rFonts w:ascii="宋体" w:hAnsi="宋体" w:cs="Arial"/>
          <w:sz w:val="32"/>
          <w:szCs w:val="32"/>
        </w:rPr>
      </w:pPr>
      <w:r>
        <w:rPr>
          <w:rFonts w:hint="eastAsia" w:ascii="宋体" w:hAnsi="宋体" w:cs="Arial"/>
          <w:sz w:val="32"/>
          <w:szCs w:val="32"/>
        </w:rPr>
        <w:t xml:space="preserve">      4）与产业电商深度结合推动产业金融发展</w:t>
      </w:r>
    </w:p>
    <w:p>
      <w:pPr>
        <w:spacing w:line="400" w:lineRule="exact"/>
        <w:rPr>
          <w:rFonts w:ascii="Arial" w:hAnsi="Arial" w:cs="Arial"/>
          <w:b/>
          <w:sz w:val="32"/>
          <w:szCs w:val="32"/>
        </w:rPr>
      </w:pPr>
      <w:r>
        <w:rPr>
          <w:rFonts w:hint="eastAsia" w:ascii="Arial" w:hAnsi="Arial" w:cs="Arial"/>
          <w:b/>
          <w:sz w:val="32"/>
          <w:szCs w:val="32"/>
        </w:rPr>
        <w:t xml:space="preserve">    8、《民法典》下若干保理法律问题分析</w:t>
      </w:r>
    </w:p>
    <w:p>
      <w:pPr>
        <w:spacing w:line="400" w:lineRule="exact"/>
        <w:rPr>
          <w:rFonts w:ascii="宋体" w:hAnsi="宋体" w:cs="Arial"/>
          <w:sz w:val="32"/>
          <w:szCs w:val="32"/>
        </w:rPr>
      </w:pPr>
      <w:r>
        <w:rPr>
          <w:rFonts w:hint="eastAsia" w:ascii="宋体" w:hAnsi="宋体" w:cs="Arial"/>
          <w:sz w:val="32"/>
          <w:szCs w:val="32"/>
        </w:rPr>
        <w:t xml:space="preserve">      1）《民法典》下保理合同的定义分析</w:t>
      </w:r>
    </w:p>
    <w:p>
      <w:pPr>
        <w:spacing w:line="400" w:lineRule="exact"/>
        <w:rPr>
          <w:rFonts w:ascii="宋体" w:hAnsi="宋体" w:cs="Arial"/>
          <w:sz w:val="32"/>
          <w:szCs w:val="32"/>
        </w:rPr>
      </w:pPr>
      <w:r>
        <w:rPr>
          <w:rFonts w:hint="eastAsia" w:ascii="宋体" w:hAnsi="宋体" w:cs="Arial"/>
          <w:sz w:val="32"/>
          <w:szCs w:val="32"/>
        </w:rPr>
        <w:t xml:space="preserve">      2）虚构应收账款的法律后果</w:t>
      </w:r>
    </w:p>
    <w:p>
      <w:pPr>
        <w:spacing w:line="400" w:lineRule="exact"/>
        <w:rPr>
          <w:rFonts w:ascii="宋体" w:hAnsi="宋体" w:cs="Arial"/>
          <w:sz w:val="32"/>
          <w:szCs w:val="32"/>
        </w:rPr>
      </w:pPr>
      <w:r>
        <w:rPr>
          <w:rFonts w:hint="eastAsia" w:ascii="宋体" w:hAnsi="宋体" w:cs="Arial"/>
          <w:sz w:val="32"/>
          <w:szCs w:val="32"/>
        </w:rPr>
        <w:t xml:space="preserve">      3）明保理业务的通知形式</w:t>
      </w:r>
    </w:p>
    <w:p>
      <w:pPr>
        <w:spacing w:line="400" w:lineRule="exact"/>
        <w:rPr>
          <w:rFonts w:ascii="宋体" w:hAnsi="宋体" w:cs="Arial"/>
          <w:sz w:val="32"/>
          <w:szCs w:val="32"/>
        </w:rPr>
      </w:pPr>
      <w:r>
        <w:rPr>
          <w:rFonts w:hint="eastAsia" w:ascii="宋体" w:hAnsi="宋体" w:cs="Arial"/>
          <w:sz w:val="32"/>
          <w:szCs w:val="32"/>
        </w:rPr>
        <w:t xml:space="preserve">      4）基础合同发生变更对保理业务的影响</w:t>
      </w:r>
    </w:p>
    <w:p>
      <w:pPr>
        <w:spacing w:line="400" w:lineRule="exact"/>
        <w:rPr>
          <w:rFonts w:ascii="宋体" w:hAnsi="宋体" w:cs="Arial"/>
          <w:sz w:val="32"/>
          <w:szCs w:val="32"/>
        </w:rPr>
      </w:pPr>
      <w:r>
        <w:rPr>
          <w:rFonts w:hint="eastAsia" w:ascii="宋体" w:hAnsi="宋体" w:cs="Arial"/>
          <w:sz w:val="32"/>
          <w:szCs w:val="32"/>
        </w:rPr>
        <w:t xml:space="preserve">      5）有追索权及无追索权保理业务保理商的权利范围比较分析</w:t>
      </w:r>
    </w:p>
    <w:p>
      <w:pPr>
        <w:spacing w:line="400" w:lineRule="exact"/>
        <w:rPr>
          <w:rFonts w:ascii="宋体" w:hAnsi="宋体" w:cs="Arial"/>
          <w:sz w:val="32"/>
          <w:szCs w:val="32"/>
        </w:rPr>
      </w:pPr>
      <w:r>
        <w:rPr>
          <w:rFonts w:hint="eastAsia" w:ascii="宋体" w:hAnsi="宋体" w:cs="Arial"/>
          <w:sz w:val="32"/>
          <w:szCs w:val="32"/>
        </w:rPr>
        <w:t xml:space="preserve">      6）应收账款多种转让时保理商权利顺位的确定方式</w:t>
      </w:r>
    </w:p>
    <w:p>
      <w:pPr>
        <w:spacing w:line="400" w:lineRule="exact"/>
        <w:rPr>
          <w:rFonts w:ascii="宋体" w:hAnsi="宋体" w:cs="Arial"/>
          <w:sz w:val="32"/>
          <w:szCs w:val="32"/>
        </w:rPr>
      </w:pPr>
      <w:r>
        <w:rPr>
          <w:rFonts w:hint="eastAsia" w:ascii="宋体" w:hAnsi="宋体" w:cs="Arial"/>
          <w:sz w:val="32"/>
          <w:szCs w:val="32"/>
        </w:rPr>
        <w:t xml:space="preserve">      7）《民法典》项下与保理业务相关的其他债权转让规定</w:t>
      </w:r>
      <w:r>
        <w:rPr>
          <w:rFonts w:hint="eastAsia" w:ascii="Arial" w:hAnsi="Arial" w:cs="Arial"/>
          <w:b/>
          <w:sz w:val="32"/>
          <w:szCs w:val="32"/>
        </w:rPr>
        <w:t xml:space="preserve"> </w:t>
      </w:r>
    </w:p>
    <w:p>
      <w:pPr>
        <w:spacing w:line="400" w:lineRule="exact"/>
        <w:rPr>
          <w:rFonts w:ascii="Arial" w:hAnsi="Arial" w:cs="Arial"/>
          <w:b/>
          <w:sz w:val="32"/>
          <w:szCs w:val="32"/>
        </w:rPr>
      </w:pPr>
      <w:r>
        <w:rPr>
          <w:rFonts w:hint="eastAsia" w:ascii="Arial" w:hAnsi="Arial" w:cs="Arial"/>
          <w:b/>
          <w:sz w:val="32"/>
          <w:szCs w:val="32"/>
        </w:rPr>
        <w:t xml:space="preserve">    9、暗保理业务相关法律问题分析</w:t>
      </w:r>
    </w:p>
    <w:p>
      <w:pPr>
        <w:spacing w:line="400" w:lineRule="exact"/>
        <w:rPr>
          <w:rFonts w:ascii="宋体" w:hAnsi="宋体" w:cs="Arial"/>
          <w:sz w:val="32"/>
          <w:szCs w:val="32"/>
        </w:rPr>
      </w:pPr>
      <w:r>
        <w:rPr>
          <w:rFonts w:hint="eastAsia" w:ascii="宋体" w:hAnsi="宋体" w:cs="Arial"/>
          <w:sz w:val="32"/>
          <w:szCs w:val="32"/>
        </w:rPr>
        <w:t xml:space="preserve">      1）暗保理业务概述</w:t>
      </w:r>
    </w:p>
    <w:p>
      <w:pPr>
        <w:spacing w:line="400" w:lineRule="exact"/>
        <w:rPr>
          <w:rFonts w:ascii="宋体" w:hAnsi="宋体" w:cs="Arial"/>
          <w:sz w:val="32"/>
          <w:szCs w:val="32"/>
        </w:rPr>
      </w:pPr>
      <w:r>
        <w:rPr>
          <w:rFonts w:hint="eastAsia" w:ascii="宋体" w:hAnsi="宋体" w:cs="Arial"/>
          <w:sz w:val="32"/>
          <w:szCs w:val="32"/>
        </w:rPr>
        <w:t xml:space="preserve">      2）暗保理业务的合法合规性分析</w:t>
      </w:r>
    </w:p>
    <w:p>
      <w:pPr>
        <w:spacing w:line="400" w:lineRule="exact"/>
        <w:rPr>
          <w:rFonts w:ascii="宋体" w:hAnsi="宋体" w:cs="Arial"/>
          <w:sz w:val="32"/>
          <w:szCs w:val="32"/>
        </w:rPr>
      </w:pPr>
      <w:r>
        <w:rPr>
          <w:rFonts w:hint="eastAsia" w:ascii="宋体" w:hAnsi="宋体" w:cs="Arial"/>
          <w:sz w:val="32"/>
          <w:szCs w:val="32"/>
        </w:rPr>
        <w:t xml:space="preserve">      3）暗保理的合同效力分析及案例分析</w:t>
      </w:r>
    </w:p>
    <w:p>
      <w:pPr>
        <w:spacing w:line="400" w:lineRule="exact"/>
        <w:rPr>
          <w:rFonts w:ascii="宋体" w:hAnsi="宋体" w:cs="Arial"/>
          <w:sz w:val="32"/>
          <w:szCs w:val="32"/>
        </w:rPr>
      </w:pPr>
      <w:r>
        <w:rPr>
          <w:rFonts w:hint="eastAsia" w:ascii="宋体" w:hAnsi="宋体" w:cs="Arial"/>
          <w:sz w:val="32"/>
          <w:szCs w:val="32"/>
        </w:rPr>
        <w:t xml:space="preserve">      4）暗保理业务的风险特征及防范措施</w:t>
      </w:r>
    </w:p>
    <w:p>
      <w:pPr>
        <w:spacing w:line="400" w:lineRule="exact"/>
        <w:rPr>
          <w:rFonts w:ascii="宋体" w:hAnsi="宋体" w:cs="Arial"/>
          <w:sz w:val="32"/>
          <w:szCs w:val="32"/>
        </w:rPr>
      </w:pPr>
      <w:r>
        <w:rPr>
          <w:rFonts w:hint="eastAsia" w:ascii="宋体" w:hAnsi="宋体" w:cs="Arial"/>
          <w:sz w:val="32"/>
          <w:szCs w:val="32"/>
        </w:rPr>
        <w:t xml:space="preserve">      5）暗保理融资中及融资后的法律风险</w:t>
      </w:r>
      <w:r>
        <w:rPr>
          <w:rFonts w:hint="eastAsia" w:ascii="Arial" w:hAnsi="Arial" w:cs="Arial"/>
          <w:b/>
          <w:sz w:val="32"/>
          <w:szCs w:val="32"/>
        </w:rPr>
        <w:t xml:space="preserve"> </w:t>
      </w:r>
    </w:p>
    <w:p>
      <w:pPr>
        <w:spacing w:line="400" w:lineRule="exact"/>
        <w:rPr>
          <w:rFonts w:ascii="Arial" w:hAnsi="Arial" w:cs="Arial"/>
          <w:b/>
          <w:sz w:val="32"/>
          <w:szCs w:val="32"/>
        </w:rPr>
      </w:pPr>
      <w:r>
        <w:rPr>
          <w:rFonts w:hint="eastAsia" w:ascii="Arial" w:hAnsi="Arial" w:cs="Arial"/>
          <w:b/>
          <w:sz w:val="32"/>
          <w:szCs w:val="32"/>
        </w:rPr>
        <w:t xml:space="preserve">    10、保理合同纠纷常见诉讼风险分析及防范</w:t>
      </w:r>
    </w:p>
    <w:p>
      <w:pPr>
        <w:spacing w:line="400" w:lineRule="exact"/>
        <w:rPr>
          <w:rFonts w:ascii="宋体" w:hAnsi="宋体" w:cs="Arial"/>
          <w:sz w:val="32"/>
          <w:szCs w:val="32"/>
        </w:rPr>
      </w:pPr>
      <w:r>
        <w:rPr>
          <w:rFonts w:hint="eastAsia" w:ascii="宋体" w:hAnsi="宋体" w:cs="Arial"/>
          <w:sz w:val="32"/>
          <w:szCs w:val="32"/>
        </w:rPr>
        <w:t xml:space="preserve">      1）名为保理业务实为借贷业务</w:t>
      </w:r>
    </w:p>
    <w:p>
      <w:pPr>
        <w:spacing w:line="400" w:lineRule="exact"/>
        <w:rPr>
          <w:rFonts w:ascii="宋体" w:hAnsi="宋体" w:cs="Arial"/>
          <w:sz w:val="32"/>
          <w:szCs w:val="32"/>
        </w:rPr>
      </w:pPr>
      <w:r>
        <w:rPr>
          <w:rFonts w:hint="eastAsia" w:ascii="宋体" w:hAnsi="宋体" w:cs="Arial"/>
          <w:sz w:val="32"/>
          <w:szCs w:val="32"/>
        </w:rPr>
        <w:t xml:space="preserve">      2）基础合同与保理合同诉讼管辖条款不一致的诉讼风险</w:t>
      </w:r>
    </w:p>
    <w:p>
      <w:pPr>
        <w:spacing w:line="400" w:lineRule="exact"/>
        <w:rPr>
          <w:rFonts w:ascii="宋体" w:hAnsi="宋体" w:cs="Arial"/>
          <w:sz w:val="32"/>
          <w:szCs w:val="32"/>
        </w:rPr>
      </w:pPr>
      <w:r>
        <w:rPr>
          <w:rFonts w:hint="eastAsia" w:ascii="宋体" w:hAnsi="宋体" w:cs="Arial"/>
          <w:sz w:val="32"/>
          <w:szCs w:val="32"/>
        </w:rPr>
        <w:t xml:space="preserve">      3）保理商住所地、实际经营地不一致可能面临的诉讼风险</w:t>
      </w:r>
    </w:p>
    <w:p>
      <w:pPr>
        <w:spacing w:line="400" w:lineRule="exact"/>
        <w:rPr>
          <w:rFonts w:ascii="宋体" w:hAnsi="宋体" w:cs="Arial"/>
          <w:sz w:val="32"/>
          <w:szCs w:val="32"/>
        </w:rPr>
      </w:pPr>
      <w:r>
        <w:rPr>
          <w:rFonts w:hint="eastAsia" w:ascii="宋体" w:hAnsi="宋体" w:cs="Arial"/>
          <w:sz w:val="32"/>
          <w:szCs w:val="32"/>
        </w:rPr>
        <w:t xml:space="preserve">      4）保证金的约定及法律风险</w:t>
      </w:r>
    </w:p>
    <w:p>
      <w:pPr>
        <w:spacing w:line="400" w:lineRule="exact"/>
        <w:rPr>
          <w:rFonts w:ascii="宋体" w:hAnsi="宋体" w:cs="Arial"/>
          <w:sz w:val="32"/>
          <w:szCs w:val="32"/>
        </w:rPr>
      </w:pPr>
      <w:r>
        <w:rPr>
          <w:rFonts w:hint="eastAsia" w:ascii="宋体" w:hAnsi="宋体" w:cs="Arial"/>
          <w:sz w:val="32"/>
          <w:szCs w:val="32"/>
        </w:rPr>
        <w:t xml:space="preserve">      5）诉讼方案制定错误</w:t>
      </w:r>
    </w:p>
    <w:p>
      <w:pPr>
        <w:spacing w:line="400" w:lineRule="exact"/>
        <w:rPr>
          <w:rFonts w:ascii="Arial" w:hAnsi="Arial" w:cs="Arial"/>
          <w:b/>
          <w:sz w:val="32"/>
          <w:szCs w:val="32"/>
        </w:rPr>
      </w:pPr>
      <w:r>
        <w:rPr>
          <w:rFonts w:hint="eastAsia" w:ascii="Arial" w:hAnsi="Arial" w:cs="Arial"/>
          <w:b/>
          <w:sz w:val="32"/>
          <w:szCs w:val="32"/>
        </w:rPr>
        <w:t xml:space="preserve">    11、保理相关的法律及合规问题</w:t>
      </w:r>
    </w:p>
    <w:p>
      <w:pPr>
        <w:spacing w:line="400" w:lineRule="exact"/>
        <w:rPr>
          <w:rFonts w:ascii="宋体" w:hAnsi="宋体" w:cs="Arial"/>
          <w:sz w:val="32"/>
          <w:szCs w:val="32"/>
        </w:rPr>
      </w:pPr>
      <w:r>
        <w:rPr>
          <w:rFonts w:hint="eastAsia" w:ascii="宋体" w:hAnsi="宋体" w:cs="Arial"/>
          <w:sz w:val="32"/>
          <w:szCs w:val="32"/>
        </w:rPr>
        <w:t xml:space="preserve">      1）民法典背景下的最新保理法律问题</w:t>
      </w:r>
    </w:p>
    <w:p>
      <w:pPr>
        <w:spacing w:line="400" w:lineRule="exact"/>
        <w:rPr>
          <w:rFonts w:ascii="宋体" w:hAnsi="宋体" w:cs="Arial"/>
          <w:sz w:val="32"/>
          <w:szCs w:val="32"/>
        </w:rPr>
      </w:pPr>
      <w:r>
        <w:rPr>
          <w:rFonts w:hint="eastAsia" w:ascii="宋体" w:hAnsi="宋体" w:cs="Arial"/>
          <w:sz w:val="32"/>
          <w:szCs w:val="32"/>
        </w:rPr>
        <w:t xml:space="preserve">      2）虚构应收账款的法律问题</w:t>
      </w:r>
    </w:p>
    <w:p>
      <w:pPr>
        <w:spacing w:line="400" w:lineRule="exact"/>
        <w:rPr>
          <w:rFonts w:ascii="宋体" w:hAnsi="宋体" w:cs="Arial"/>
          <w:sz w:val="32"/>
          <w:szCs w:val="32"/>
        </w:rPr>
      </w:pPr>
      <w:r>
        <w:rPr>
          <w:rFonts w:hint="eastAsia" w:ascii="宋体" w:hAnsi="宋体" w:cs="Arial"/>
          <w:sz w:val="32"/>
          <w:szCs w:val="32"/>
        </w:rPr>
        <w:t xml:space="preserve">      3）明保理业务的通知形式</w:t>
      </w:r>
    </w:p>
    <w:p>
      <w:pPr>
        <w:spacing w:line="400" w:lineRule="exact"/>
        <w:rPr>
          <w:rFonts w:ascii="宋体" w:hAnsi="宋体" w:cs="Arial"/>
          <w:sz w:val="32"/>
          <w:szCs w:val="32"/>
        </w:rPr>
      </w:pPr>
      <w:r>
        <w:rPr>
          <w:rFonts w:hint="eastAsia" w:ascii="宋体" w:hAnsi="宋体" w:cs="Arial"/>
          <w:sz w:val="32"/>
          <w:szCs w:val="32"/>
        </w:rPr>
        <w:t xml:space="preserve">      4）基础合同发生变更对保理业务的影响</w:t>
      </w:r>
    </w:p>
    <w:p>
      <w:pPr>
        <w:spacing w:line="400" w:lineRule="exact"/>
        <w:rPr>
          <w:rFonts w:ascii="宋体" w:hAnsi="宋体" w:cs="Arial"/>
          <w:sz w:val="32"/>
          <w:szCs w:val="32"/>
        </w:rPr>
      </w:pPr>
      <w:r>
        <w:rPr>
          <w:rFonts w:hint="eastAsia" w:ascii="宋体" w:hAnsi="宋体" w:cs="Arial"/>
          <w:sz w:val="32"/>
          <w:szCs w:val="32"/>
        </w:rPr>
        <w:t xml:space="preserve">      5）有追索权及无追索权保理业务保理商的权利范围比较分析</w:t>
      </w:r>
    </w:p>
    <w:p>
      <w:pPr>
        <w:spacing w:line="400" w:lineRule="exact"/>
        <w:rPr>
          <w:rFonts w:ascii="宋体" w:hAnsi="宋体" w:cs="Arial"/>
          <w:sz w:val="32"/>
          <w:szCs w:val="32"/>
        </w:rPr>
      </w:pPr>
      <w:r>
        <w:rPr>
          <w:rFonts w:hint="eastAsia" w:ascii="宋体" w:hAnsi="宋体" w:cs="Arial"/>
          <w:sz w:val="32"/>
          <w:szCs w:val="32"/>
        </w:rPr>
        <w:t xml:space="preserve">      6）应收账款多种转让时保理商权利顺位的确定方式</w:t>
      </w:r>
    </w:p>
    <w:p>
      <w:pPr>
        <w:spacing w:line="400" w:lineRule="exact"/>
        <w:rPr>
          <w:rFonts w:ascii="宋体" w:hAnsi="宋体" w:cs="Arial"/>
          <w:sz w:val="32"/>
          <w:szCs w:val="32"/>
        </w:rPr>
      </w:pPr>
      <w:r>
        <w:rPr>
          <w:rFonts w:hint="eastAsia" w:ascii="宋体" w:hAnsi="宋体" w:cs="Arial"/>
          <w:sz w:val="32"/>
          <w:szCs w:val="32"/>
        </w:rPr>
        <w:t xml:space="preserve">      7）保理业务实务热点问题及相关法院观点总结</w:t>
      </w:r>
    </w:p>
    <w:p>
      <w:pPr>
        <w:spacing w:line="400" w:lineRule="exact"/>
        <w:rPr>
          <w:rFonts w:ascii="宋体" w:hAnsi="宋体" w:cs="Arial"/>
          <w:sz w:val="32"/>
          <w:szCs w:val="32"/>
        </w:rPr>
      </w:pPr>
      <w:r>
        <w:rPr>
          <w:rFonts w:hint="eastAsia" w:ascii="宋体" w:hAnsi="宋体" w:cs="Arial"/>
          <w:sz w:val="32"/>
          <w:szCs w:val="32"/>
        </w:rPr>
        <w:t xml:space="preserve">      8）名为保理业务实为借贷业务</w:t>
      </w:r>
    </w:p>
    <w:p>
      <w:pPr>
        <w:spacing w:line="400" w:lineRule="exact"/>
        <w:rPr>
          <w:rFonts w:ascii="宋体" w:hAnsi="宋体" w:cs="Arial"/>
          <w:sz w:val="32"/>
          <w:szCs w:val="32"/>
        </w:rPr>
      </w:pPr>
      <w:r>
        <w:rPr>
          <w:rFonts w:hint="eastAsia" w:ascii="宋体" w:hAnsi="宋体" w:cs="Arial"/>
          <w:sz w:val="32"/>
          <w:szCs w:val="32"/>
        </w:rPr>
        <w:t xml:space="preserve">      9）保证金的约定及法律风险</w:t>
      </w:r>
    </w:p>
    <w:p>
      <w:pPr>
        <w:spacing w:line="400" w:lineRule="exact"/>
        <w:rPr>
          <w:rFonts w:ascii="宋体" w:hAnsi="宋体" w:cs="Arial"/>
          <w:sz w:val="32"/>
          <w:szCs w:val="32"/>
        </w:rPr>
      </w:pPr>
      <w:r>
        <w:rPr>
          <w:rFonts w:hint="eastAsia" w:ascii="宋体" w:hAnsi="宋体" w:cs="Arial"/>
          <w:sz w:val="32"/>
          <w:szCs w:val="32"/>
        </w:rPr>
        <w:t xml:space="preserve">     10）商业保理业务中的票据合规性问题</w:t>
      </w:r>
    </w:p>
    <w:p>
      <w:pPr>
        <w:spacing w:line="400" w:lineRule="exact"/>
        <w:rPr>
          <w:rFonts w:ascii="宋体" w:hAnsi="宋体" w:cs="Arial"/>
          <w:sz w:val="32"/>
          <w:szCs w:val="32"/>
        </w:rPr>
      </w:pPr>
      <w:r>
        <w:rPr>
          <w:rFonts w:hint="eastAsia" w:ascii="宋体" w:hAnsi="宋体" w:cs="Arial"/>
          <w:sz w:val="32"/>
          <w:szCs w:val="32"/>
        </w:rPr>
        <w:t xml:space="preserve">     11）系列法规政策规定下的合规问题</w:t>
      </w:r>
    </w:p>
    <w:p>
      <w:pPr>
        <w:spacing w:line="400" w:lineRule="exact"/>
        <w:rPr>
          <w:rFonts w:ascii="宋体" w:hAnsi="宋体" w:cs="Arial"/>
          <w:sz w:val="32"/>
          <w:szCs w:val="32"/>
        </w:rPr>
      </w:pPr>
      <w:r>
        <w:rPr>
          <w:rFonts w:hint="eastAsia" w:ascii="宋体" w:hAnsi="宋体" w:cs="Arial"/>
          <w:sz w:val="32"/>
          <w:szCs w:val="32"/>
        </w:rPr>
        <w:t xml:space="preserve">     12）《关于加强商业保理企业监督管理的通知》《商业保理企业名单</w:t>
      </w:r>
    </w:p>
    <w:p>
      <w:pPr>
        <w:spacing w:line="400" w:lineRule="exact"/>
        <w:rPr>
          <w:rFonts w:ascii="宋体" w:hAnsi="宋体" w:cs="Arial"/>
          <w:sz w:val="32"/>
          <w:szCs w:val="32"/>
        </w:rPr>
      </w:pPr>
      <w:r>
        <w:rPr>
          <w:rFonts w:hint="eastAsia" w:ascii="宋体" w:hAnsi="宋体" w:cs="Arial"/>
          <w:sz w:val="32"/>
          <w:szCs w:val="32"/>
        </w:rPr>
        <w:t xml:space="preserve">         制管理工作方案》</w:t>
      </w:r>
    </w:p>
    <w:p>
      <w:pPr>
        <w:spacing w:line="400" w:lineRule="exact"/>
        <w:rPr>
          <w:rFonts w:ascii="宋体" w:hAnsi="宋体" w:cs="Arial"/>
          <w:sz w:val="32"/>
          <w:szCs w:val="32"/>
        </w:rPr>
      </w:pPr>
      <w:r>
        <w:rPr>
          <w:rFonts w:hint="eastAsia" w:ascii="宋体" w:hAnsi="宋体" w:cs="Arial"/>
          <w:sz w:val="32"/>
          <w:szCs w:val="32"/>
        </w:rPr>
        <w:t xml:space="preserve">     13）《上海市商业保理公司监督管理暂行办法》</w:t>
      </w:r>
    </w:p>
    <w:p>
      <w:pPr>
        <w:spacing w:line="400" w:lineRule="exact"/>
        <w:rPr>
          <w:rFonts w:ascii="Arial" w:hAnsi="Arial" w:cs="Arial"/>
          <w:b/>
          <w:sz w:val="32"/>
          <w:szCs w:val="32"/>
        </w:rPr>
      </w:pPr>
      <w:r>
        <w:rPr>
          <w:rFonts w:hint="eastAsia" w:ascii="宋体" w:hAnsi="宋体" w:cs="Arial"/>
          <w:sz w:val="32"/>
          <w:szCs w:val="32"/>
        </w:rPr>
        <w:t xml:space="preserve">     14）《保障中小企业款项支付条例》</w:t>
      </w:r>
    </w:p>
    <w:p>
      <w:pPr>
        <w:spacing w:line="400" w:lineRule="exact"/>
        <w:rPr>
          <w:rFonts w:ascii="Arial" w:hAnsi="Arial" w:cs="Arial"/>
          <w:b/>
          <w:sz w:val="32"/>
          <w:szCs w:val="32"/>
        </w:rPr>
      </w:pPr>
      <w:r>
        <w:rPr>
          <w:rFonts w:hint="eastAsia" w:ascii="Arial" w:hAnsi="Arial" w:cs="Arial"/>
          <w:b/>
          <w:sz w:val="32"/>
          <w:szCs w:val="32"/>
        </w:rPr>
        <w:t xml:space="preserve">    12、民法典对融资租赁的主要影响及应对</w:t>
      </w:r>
    </w:p>
    <w:p>
      <w:pPr>
        <w:spacing w:line="400" w:lineRule="exact"/>
        <w:rPr>
          <w:rFonts w:ascii="宋体" w:hAnsi="宋体" w:cs="Arial"/>
          <w:sz w:val="32"/>
          <w:szCs w:val="32"/>
        </w:rPr>
      </w:pPr>
      <w:r>
        <w:rPr>
          <w:rFonts w:hint="eastAsia" w:ascii="宋体" w:hAnsi="宋体" w:cs="Arial"/>
          <w:sz w:val="32"/>
          <w:szCs w:val="32"/>
        </w:rPr>
        <w:t xml:space="preserve">      1）纳入担保体系的理解及影响（权利顺位、登记规则）</w:t>
      </w:r>
    </w:p>
    <w:p>
      <w:pPr>
        <w:spacing w:line="400" w:lineRule="exact"/>
        <w:rPr>
          <w:rFonts w:ascii="宋体" w:hAnsi="宋体" w:cs="Arial"/>
          <w:sz w:val="32"/>
          <w:szCs w:val="32"/>
        </w:rPr>
      </w:pPr>
      <w:r>
        <w:rPr>
          <w:rFonts w:hint="eastAsia" w:ascii="宋体" w:hAnsi="宋体" w:cs="Arial"/>
          <w:sz w:val="32"/>
          <w:szCs w:val="32"/>
        </w:rPr>
        <w:t xml:space="preserve">      2）虚构租赁物的类型、认定与应对</w:t>
      </w:r>
    </w:p>
    <w:p>
      <w:pPr>
        <w:spacing w:line="400" w:lineRule="exact"/>
        <w:rPr>
          <w:rFonts w:ascii="宋体" w:hAnsi="宋体" w:cs="Arial"/>
          <w:w w:val="95"/>
          <w:sz w:val="32"/>
          <w:szCs w:val="32"/>
        </w:rPr>
      </w:pPr>
      <w:r>
        <w:rPr>
          <w:rFonts w:hint="eastAsia" w:ascii="宋体" w:hAnsi="宋体" w:cs="Arial"/>
          <w:sz w:val="32"/>
          <w:szCs w:val="32"/>
        </w:rPr>
        <w:t xml:space="preserve">      </w:t>
      </w:r>
      <w:r>
        <w:rPr>
          <w:rFonts w:hint="eastAsia" w:ascii="宋体" w:hAnsi="宋体" w:cs="Arial"/>
          <w:w w:val="95"/>
          <w:sz w:val="32"/>
          <w:szCs w:val="32"/>
        </w:rPr>
        <w:t>3</w:t>
      </w:r>
      <w:r>
        <w:rPr>
          <w:rFonts w:hint="eastAsia" w:ascii="宋体" w:hAnsi="宋体" w:cs="Arial"/>
          <w:sz w:val="32"/>
          <w:szCs w:val="32"/>
        </w:rPr>
        <w:t>）</w:t>
      </w:r>
      <w:r>
        <w:rPr>
          <w:rFonts w:hint="eastAsia" w:ascii="宋体" w:hAnsi="宋体" w:cs="Arial"/>
          <w:w w:val="95"/>
          <w:sz w:val="32"/>
          <w:szCs w:val="32"/>
        </w:rPr>
        <w:t>担保司法解释的新规定和影响（对融资租赁的新规定和其他规定）</w:t>
      </w:r>
    </w:p>
    <w:p>
      <w:pPr>
        <w:spacing w:line="400" w:lineRule="exact"/>
        <w:rPr>
          <w:rFonts w:ascii="宋体" w:hAnsi="宋体" w:cs="Arial"/>
          <w:w w:val="88"/>
          <w:sz w:val="32"/>
          <w:szCs w:val="32"/>
        </w:rPr>
      </w:pPr>
      <w:r>
        <w:rPr>
          <w:rFonts w:hint="eastAsia" w:ascii="宋体" w:hAnsi="宋体" w:cs="Arial"/>
          <w:sz w:val="32"/>
          <w:szCs w:val="32"/>
        </w:rPr>
        <w:t xml:space="preserve">      </w:t>
      </w:r>
      <w:r>
        <w:rPr>
          <w:rFonts w:hint="eastAsia" w:ascii="宋体" w:hAnsi="宋体" w:cs="Arial"/>
          <w:w w:val="88"/>
          <w:sz w:val="32"/>
          <w:szCs w:val="32"/>
        </w:rPr>
        <w:t>4</w:t>
      </w:r>
      <w:r>
        <w:rPr>
          <w:rFonts w:hint="eastAsia" w:ascii="宋体" w:hAnsi="宋体" w:cs="Arial"/>
          <w:sz w:val="32"/>
          <w:szCs w:val="32"/>
        </w:rPr>
        <w:t>）</w:t>
      </w:r>
      <w:r>
        <w:rPr>
          <w:rFonts w:hint="eastAsia" w:ascii="宋体" w:hAnsi="宋体" w:cs="Arial"/>
          <w:w w:val="88"/>
          <w:sz w:val="32"/>
          <w:szCs w:val="32"/>
        </w:rPr>
        <w:t>担保决议的重大影响（上市公司公告、不需要决议的类型变化）及应对</w:t>
      </w:r>
    </w:p>
    <w:p>
      <w:pPr>
        <w:spacing w:line="400" w:lineRule="exact"/>
        <w:rPr>
          <w:rFonts w:ascii="宋体" w:hAnsi="宋体" w:cs="Arial"/>
          <w:sz w:val="32"/>
          <w:szCs w:val="32"/>
        </w:rPr>
      </w:pPr>
      <w:r>
        <w:rPr>
          <w:rFonts w:hint="eastAsia" w:ascii="宋体" w:hAnsi="宋体" w:cs="Arial"/>
          <w:sz w:val="32"/>
          <w:szCs w:val="32"/>
        </w:rPr>
        <w:t xml:space="preserve">      5）担保和融资租赁司法解释未解决的四大问题与应对（时效、虚构与合同性质、权利救济、破产取回）</w:t>
      </w:r>
    </w:p>
    <w:p>
      <w:pPr>
        <w:spacing w:line="400" w:lineRule="exact"/>
        <w:rPr>
          <w:rFonts w:ascii="Arial" w:hAnsi="Arial" w:cs="Arial"/>
          <w:b/>
          <w:sz w:val="32"/>
          <w:szCs w:val="32"/>
        </w:rPr>
      </w:pPr>
      <w:r>
        <w:rPr>
          <w:rFonts w:hint="eastAsia" w:ascii="Arial" w:hAnsi="Arial" w:cs="Arial"/>
          <w:b/>
          <w:sz w:val="32"/>
          <w:szCs w:val="32"/>
        </w:rPr>
        <w:t xml:space="preserve">    13、热点交易模式及法律合规风险</w:t>
      </w:r>
    </w:p>
    <w:p>
      <w:pPr>
        <w:spacing w:line="400" w:lineRule="exact"/>
        <w:rPr>
          <w:rFonts w:ascii="宋体" w:hAnsi="宋体" w:cs="Arial"/>
          <w:sz w:val="32"/>
          <w:szCs w:val="32"/>
        </w:rPr>
      </w:pPr>
      <w:r>
        <w:rPr>
          <w:rFonts w:hint="eastAsia" w:ascii="宋体" w:hAnsi="宋体" w:cs="Arial"/>
          <w:sz w:val="32"/>
          <w:szCs w:val="32"/>
        </w:rPr>
        <w:t xml:space="preserve">      1）联合承租：法律本质、司法态度、合规风险</w:t>
      </w:r>
    </w:p>
    <w:p>
      <w:pPr>
        <w:spacing w:line="400" w:lineRule="exact"/>
        <w:rPr>
          <w:rFonts w:ascii="宋体" w:hAnsi="宋体" w:cs="Arial"/>
          <w:w w:val="90"/>
          <w:sz w:val="32"/>
          <w:szCs w:val="32"/>
        </w:rPr>
      </w:pPr>
      <w:r>
        <w:rPr>
          <w:rFonts w:hint="eastAsia" w:ascii="宋体" w:hAnsi="宋体" w:cs="Arial"/>
          <w:sz w:val="32"/>
          <w:szCs w:val="32"/>
        </w:rPr>
        <w:t xml:space="preserve">      </w:t>
      </w:r>
      <w:r>
        <w:rPr>
          <w:rFonts w:hint="eastAsia" w:ascii="宋体" w:hAnsi="宋体" w:cs="Arial"/>
          <w:w w:val="90"/>
          <w:sz w:val="32"/>
          <w:szCs w:val="32"/>
        </w:rPr>
        <w:t>2）转租赁：主要模式、常见争议、监管态度（商租、金租）、法院认定</w:t>
      </w:r>
    </w:p>
    <w:p>
      <w:pPr>
        <w:spacing w:line="400" w:lineRule="exact"/>
        <w:rPr>
          <w:rFonts w:ascii="宋体" w:hAnsi="宋体" w:cs="Arial"/>
          <w:sz w:val="32"/>
          <w:szCs w:val="32"/>
        </w:rPr>
      </w:pPr>
      <w:r>
        <w:rPr>
          <w:rFonts w:hint="eastAsia" w:ascii="宋体" w:hAnsi="宋体" w:cs="Arial"/>
          <w:sz w:val="32"/>
          <w:szCs w:val="32"/>
        </w:rPr>
        <w:t xml:space="preserve">      3）资产转让法律合规注意事项</w:t>
      </w:r>
    </w:p>
    <w:p>
      <w:pPr>
        <w:spacing w:line="400" w:lineRule="exact"/>
        <w:rPr>
          <w:rFonts w:ascii="宋体" w:hAnsi="宋体" w:cs="Arial"/>
          <w:sz w:val="32"/>
          <w:szCs w:val="32"/>
        </w:rPr>
      </w:pPr>
      <w:r>
        <w:rPr>
          <w:rFonts w:hint="eastAsia" w:ascii="宋体" w:hAnsi="宋体" w:cs="Arial"/>
          <w:sz w:val="32"/>
          <w:szCs w:val="32"/>
        </w:rPr>
        <w:t xml:space="preserve">      4）带物回购与不带物回购</w:t>
      </w:r>
    </w:p>
    <w:p>
      <w:pPr>
        <w:spacing w:line="400" w:lineRule="exact"/>
        <w:rPr>
          <w:rFonts w:ascii="宋体" w:hAnsi="宋体" w:cs="Arial"/>
          <w:sz w:val="32"/>
          <w:szCs w:val="32"/>
        </w:rPr>
      </w:pPr>
      <w:r>
        <w:rPr>
          <w:rFonts w:hint="eastAsia" w:ascii="宋体" w:hAnsi="宋体" w:cs="Arial"/>
          <w:sz w:val="32"/>
          <w:szCs w:val="32"/>
        </w:rPr>
        <w:t xml:space="preserve">      5）自抵押的司法态度与适用空间</w:t>
      </w:r>
    </w:p>
    <w:p>
      <w:pPr>
        <w:spacing w:line="400" w:lineRule="exact"/>
        <w:rPr>
          <w:rFonts w:ascii="宋体" w:hAnsi="宋体" w:cs="Arial"/>
          <w:b/>
          <w:sz w:val="30"/>
          <w:szCs w:val="30"/>
        </w:rPr>
      </w:pPr>
      <w:r>
        <w:rPr>
          <w:rFonts w:hint="eastAsia" w:ascii="宋体" w:hAnsi="宋体" w:cs="Arial"/>
          <w:b/>
          <w:sz w:val="30"/>
          <w:szCs w:val="30"/>
        </w:rPr>
        <w:t>三、会议费用及报名事宜</w:t>
      </w:r>
    </w:p>
    <w:p>
      <w:pPr>
        <w:spacing w:line="400" w:lineRule="exact"/>
        <w:rPr>
          <w:rFonts w:ascii="宋体" w:hAnsi="宋体" w:cs="Arial"/>
          <w:sz w:val="30"/>
          <w:szCs w:val="30"/>
        </w:rPr>
      </w:pPr>
      <w:r>
        <w:rPr>
          <w:rFonts w:hint="eastAsia" w:ascii="宋体" w:hAnsi="宋体" w:cs="Arial"/>
          <w:sz w:val="30"/>
          <w:szCs w:val="30"/>
        </w:rPr>
        <w:t xml:space="preserve">    培训费3900元每人</w:t>
      </w:r>
      <w:r>
        <w:rPr>
          <w:rFonts w:hint="eastAsia" w:ascii="宋体" w:hAnsi="宋体" w:cs="Arial"/>
          <w:sz w:val="30"/>
          <w:szCs w:val="30"/>
          <w:highlight w:val="yellow"/>
        </w:rPr>
        <w:t>（线上</w:t>
      </w:r>
      <w:r>
        <w:rPr>
          <w:rFonts w:hint="eastAsia" w:ascii="Arial" w:hAnsi="Arial" w:cs="Arial"/>
          <w:color w:val="33463F"/>
          <w:sz w:val="30"/>
          <w:szCs w:val="30"/>
          <w:highlight w:val="yellow"/>
        </w:rPr>
        <w:t>直播两天</w:t>
      </w:r>
      <w:r>
        <w:rPr>
          <w:rFonts w:hint="eastAsia" w:ascii="宋体" w:hAnsi="宋体" w:cs="Arial"/>
          <w:sz w:val="30"/>
          <w:szCs w:val="30"/>
          <w:highlight w:val="yellow"/>
        </w:rPr>
        <w:t>2400元、同一企业多人参加线上5000元）</w:t>
      </w:r>
      <w:r>
        <w:rPr>
          <w:rFonts w:hint="eastAsia" w:ascii="宋体" w:hAnsi="宋体" w:cs="Arial"/>
          <w:sz w:val="30"/>
          <w:szCs w:val="30"/>
        </w:rPr>
        <w:t>另住宿、交通费用自理，住宿可以让会务组代安排；报名参加者请将第三页报名回执表填完后邮件至会务处，会务处将根据报名回执寄发报到通知，告知具体乘车路线等事项。</w:t>
      </w:r>
    </w:p>
    <w:p>
      <w:pPr>
        <w:spacing w:line="360" w:lineRule="exact"/>
        <w:ind w:firstLine="602" w:firstLineChars="200"/>
        <w:rPr>
          <w:rFonts w:hint="eastAsia" w:ascii="宋体" w:hAnsi="宋体" w:cs="Arial"/>
          <w:sz w:val="30"/>
          <w:szCs w:val="30"/>
        </w:rPr>
      </w:pPr>
      <w:r>
        <w:rPr>
          <w:rFonts w:hint="eastAsia" w:ascii="宋体" w:hAnsi="宋体" w:cs="Arial"/>
          <w:b/>
          <w:sz w:val="30"/>
          <w:szCs w:val="30"/>
        </w:rPr>
        <w:t xml:space="preserve">    </w:t>
      </w:r>
      <w:r>
        <w:rPr>
          <w:rFonts w:hint="eastAsia" w:ascii="宋体" w:hAnsi="宋体" w:cs="Arial"/>
          <w:sz w:val="30"/>
          <w:szCs w:val="30"/>
        </w:rPr>
        <w:t xml:space="preserve">联系人：常 帅  18311042675   </w:t>
      </w:r>
    </w:p>
    <w:p>
      <w:pPr>
        <w:spacing w:line="360" w:lineRule="exact"/>
        <w:ind w:firstLine="600" w:firstLineChars="200"/>
        <w:rPr>
          <w:rFonts w:hint="eastAsia" w:ascii="Arial" w:hAnsi="Arial" w:cs="Arial"/>
          <w:color w:val="33463F"/>
          <w:sz w:val="30"/>
          <w:szCs w:val="30"/>
        </w:rPr>
      </w:pPr>
      <w:r>
        <w:rPr>
          <w:rFonts w:hint="eastAsia" w:ascii="宋体" w:hAnsi="宋体" w:cs="Arial"/>
          <w:sz w:val="30"/>
          <w:szCs w:val="30"/>
        </w:rPr>
        <w:t>传  真：010-87289242          E-</w:t>
      </w:r>
      <w:r>
        <w:rPr>
          <w:rFonts w:hint="eastAsia" w:ascii="Arial" w:hAnsi="Arial" w:cs="Arial"/>
          <w:color w:val="33463F"/>
          <w:sz w:val="30"/>
          <w:szCs w:val="30"/>
        </w:rPr>
        <w:t>mail:bjzlxh@bjleasing.com.cn</w:t>
      </w:r>
    </w:p>
    <w:p>
      <w:pPr>
        <w:autoSpaceDE w:val="0"/>
        <w:autoSpaceDN w:val="0"/>
        <w:adjustRightInd w:val="0"/>
        <w:spacing w:line="350" w:lineRule="exact"/>
        <w:ind w:firstLine="600" w:firstLineChars="200"/>
        <w:jc w:val="left"/>
        <w:rPr>
          <w:rFonts w:hint="eastAsia" w:ascii="宋体" w:hAnsi="宋体" w:cs="Arial"/>
          <w:sz w:val="30"/>
          <w:szCs w:val="30"/>
        </w:rPr>
      </w:pPr>
      <w:r>
        <w:rPr>
          <w:rFonts w:hint="eastAsia" w:ascii="宋体" w:hAnsi="宋体" w:cs="Arial"/>
          <w:sz w:val="30"/>
          <w:szCs w:val="30"/>
        </w:rPr>
        <w:t>网</w:t>
      </w:r>
      <w:r>
        <w:rPr>
          <w:rFonts w:ascii="宋体" w:hAnsi="宋体" w:cs="Arial"/>
          <w:sz w:val="30"/>
          <w:szCs w:val="30"/>
        </w:rPr>
        <w:t xml:space="preserve">  </w:t>
      </w:r>
      <w:r>
        <w:rPr>
          <w:rFonts w:hint="eastAsia" w:ascii="宋体" w:hAnsi="宋体" w:cs="Arial"/>
          <w:sz w:val="30"/>
          <w:szCs w:val="30"/>
        </w:rPr>
        <w:t>址：</w:t>
      </w:r>
      <w:r>
        <w:rPr>
          <w:rFonts w:ascii="宋体" w:hAnsi="宋体" w:cs="Arial"/>
          <w:sz w:val="30"/>
          <w:szCs w:val="30"/>
        </w:rPr>
        <w:t>www.</w:t>
      </w:r>
      <w:r>
        <w:rPr>
          <w:rFonts w:hint="eastAsia" w:ascii="宋体" w:hAnsi="宋体" w:cs="Arial"/>
          <w:sz w:val="30"/>
          <w:szCs w:val="30"/>
        </w:rPr>
        <w:t xml:space="preserve">rongzizulin.org.cn           </w:t>
      </w:r>
    </w:p>
    <w:p>
      <w:pPr>
        <w:autoSpaceDE w:val="0"/>
        <w:autoSpaceDN w:val="0"/>
        <w:adjustRightInd w:val="0"/>
        <w:spacing w:line="350" w:lineRule="exact"/>
        <w:ind w:firstLine="600" w:firstLineChars="200"/>
        <w:jc w:val="left"/>
        <w:rPr>
          <w:rFonts w:ascii="宋体" w:hAnsi="宋体" w:cs="Arial"/>
          <w:sz w:val="30"/>
          <w:szCs w:val="30"/>
        </w:rPr>
      </w:pPr>
      <w:r>
        <w:rPr>
          <w:rFonts w:hint="eastAsia" w:ascii="宋体" w:hAnsi="宋体" w:cs="Arial"/>
          <w:sz w:val="30"/>
          <w:szCs w:val="30"/>
        </w:rPr>
        <w:t xml:space="preserve"> 网  址：www.bjleasing.org.cn</w:t>
      </w:r>
    </w:p>
    <w:p>
      <w:pPr>
        <w:spacing w:line="400" w:lineRule="exact"/>
        <w:rPr>
          <w:rFonts w:ascii="宋体" w:hAnsi="宋体" w:cs="Arial"/>
          <w:sz w:val="30"/>
          <w:szCs w:val="30"/>
        </w:rPr>
      </w:pPr>
      <w:r>
        <w:rPr>
          <w:rFonts w:hint="eastAsia" w:ascii="宋体" w:hAnsi="宋体" w:cs="Arial"/>
          <w:sz w:val="30"/>
          <w:szCs w:val="30"/>
        </w:rPr>
        <w:t xml:space="preserve">附件：报名回执表                  </w:t>
      </w:r>
      <w:r>
        <w:rPr>
          <w:rFonts w:hint="eastAsia" w:ascii="宋体" w:hAnsi="宋体" w:cs="Arial"/>
          <w:sz w:val="30"/>
          <w:szCs w:val="30"/>
          <w:lang w:val="en-US" w:eastAsia="zh-CN"/>
        </w:rPr>
        <w:t xml:space="preserve">   </w:t>
      </w:r>
      <w:r>
        <w:rPr>
          <w:rFonts w:hint="eastAsia" w:ascii="宋体" w:hAnsi="宋体" w:cs="Arial"/>
          <w:sz w:val="30"/>
          <w:szCs w:val="30"/>
        </w:rPr>
        <w:t>融资租赁专业人才培训组委会</w:t>
      </w:r>
    </w:p>
    <w:p>
      <w:pPr>
        <w:autoSpaceDE w:val="0"/>
        <w:autoSpaceDN w:val="0"/>
        <w:adjustRightInd w:val="0"/>
        <w:spacing w:line="400" w:lineRule="exact"/>
        <w:ind w:firstLine="600" w:firstLineChars="200"/>
        <w:jc w:val="left"/>
        <w:rPr>
          <w:rFonts w:ascii="宋体" w:hAnsi="宋体" w:cs="Arial"/>
          <w:sz w:val="30"/>
          <w:szCs w:val="30"/>
        </w:rPr>
      </w:pPr>
      <w:r>
        <w:rPr>
          <w:rFonts w:hint="eastAsia" w:ascii="宋体" w:hAnsi="宋体" w:cs="Arial"/>
          <w:sz w:val="30"/>
          <w:szCs w:val="30"/>
        </w:rPr>
        <w:t xml:space="preserve">                                 北京中经皓宇管理咨询有限公司</w:t>
      </w:r>
    </w:p>
    <w:p>
      <w:pPr>
        <w:spacing w:line="400" w:lineRule="exact"/>
        <w:ind w:left="6000" w:hanging="6000" w:hangingChars="2000"/>
        <w:rPr>
          <w:rFonts w:ascii="Arial" w:hAnsi="Arial" w:cs="Arial"/>
          <w:b/>
          <w:sz w:val="36"/>
          <w:szCs w:val="36"/>
        </w:rPr>
      </w:pPr>
      <w:r>
        <w:rPr>
          <w:rFonts w:hint="eastAsia" w:ascii="宋体" w:hAnsi="宋体" w:cs="Arial"/>
          <w:sz w:val="30"/>
          <w:szCs w:val="30"/>
        </w:rPr>
        <w:t xml:space="preserve">             </w:t>
      </w:r>
      <w:r>
        <w:rPr>
          <w:rFonts w:hint="eastAsia" w:ascii="Arial" w:hAnsi="Arial" w:cs="Arial"/>
          <w:b/>
          <w:sz w:val="36"/>
          <w:szCs w:val="36"/>
        </w:rPr>
        <w:t>供应链金融与保理业务合规、风险防范精讲班</w:t>
      </w:r>
    </w:p>
    <w:p>
      <w:pPr>
        <w:spacing w:line="420" w:lineRule="exact"/>
        <w:jc w:val="center"/>
        <w:rPr>
          <w:rFonts w:ascii="Arial" w:hAnsi="Arial" w:cs="Arial"/>
          <w:b/>
          <w:sz w:val="36"/>
          <w:szCs w:val="36"/>
        </w:rPr>
      </w:pPr>
      <w:r>
        <w:rPr>
          <w:rFonts w:hint="eastAsia" w:ascii="Arial" w:hAnsi="Arial" w:cs="Arial"/>
          <w:b/>
          <w:sz w:val="36"/>
          <w:szCs w:val="36"/>
        </w:rPr>
        <w:t>报名回执表</w:t>
      </w:r>
    </w:p>
    <w:p>
      <w:pPr>
        <w:autoSpaceDE w:val="0"/>
        <w:autoSpaceDN w:val="0"/>
        <w:adjustRightInd w:val="0"/>
        <w:spacing w:line="360" w:lineRule="exact"/>
        <w:ind w:firstLine="150" w:firstLineChars="50"/>
        <w:jc w:val="left"/>
        <w:rPr>
          <w:rFonts w:ascii="Arial" w:hAnsi="Arial" w:cs="Arial"/>
          <w:sz w:val="30"/>
          <w:szCs w:val="30"/>
        </w:rPr>
      </w:pPr>
      <w:r>
        <w:rPr>
          <w:rFonts w:hint="eastAsia" w:ascii="Arial" w:hAnsi="Arial" w:cs="Arial"/>
          <w:sz w:val="30"/>
          <w:szCs w:val="30"/>
        </w:rPr>
        <w:t>经研究，我单位决定派以下人员参会：</w:t>
      </w:r>
    </w:p>
    <w:tbl>
      <w:tblPr>
        <w:tblStyle w:val="7"/>
        <w:tblW w:w="95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34"/>
        <w:gridCol w:w="1307"/>
        <w:gridCol w:w="476"/>
        <w:gridCol w:w="1194"/>
        <w:gridCol w:w="1701"/>
        <w:gridCol w:w="1276"/>
        <w:gridCol w:w="2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 w:hRule="atLeast"/>
          <w:jc w:val="center"/>
        </w:trPr>
        <w:tc>
          <w:tcPr>
            <w:tcW w:w="1334" w:type="dxa"/>
            <w:vAlign w:val="center"/>
          </w:tcPr>
          <w:p>
            <w:pPr>
              <w:widowControl/>
              <w:tabs>
                <w:tab w:val="right" w:pos="8820"/>
              </w:tabs>
              <w:spacing w:line="360" w:lineRule="exact"/>
              <w:jc w:val="center"/>
              <w:rPr>
                <w:rFonts w:ascii="仿宋_GB2312" w:hAnsi="宋体" w:eastAsia="仿宋_GB2312" w:cs="仿宋_GB2312"/>
                <w:b/>
                <w:sz w:val="24"/>
                <w:lang w:val="zh-CN"/>
              </w:rPr>
            </w:pPr>
            <w:r>
              <w:rPr>
                <w:rFonts w:hint="eastAsia" w:ascii="Arial" w:hAnsi="Arial" w:cs="Arial"/>
                <w:sz w:val="24"/>
              </w:rPr>
              <w:t>单位名称</w:t>
            </w:r>
          </w:p>
        </w:tc>
        <w:tc>
          <w:tcPr>
            <w:tcW w:w="8221" w:type="dxa"/>
            <w:gridSpan w:val="6"/>
            <w:vAlign w:val="center"/>
          </w:tcPr>
          <w:p>
            <w:pPr>
              <w:widowControl/>
              <w:tabs>
                <w:tab w:val="right" w:pos="8820"/>
              </w:tabs>
              <w:spacing w:line="360" w:lineRule="exact"/>
              <w:jc w:val="center"/>
              <w:rPr>
                <w:rFonts w:ascii="仿宋_GB2312" w:hAnsi="宋体" w:eastAsia="仿宋_GB2312" w:cs="仿宋_GB2312"/>
                <w:b/>
                <w:sz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jc w:val="center"/>
        </w:trPr>
        <w:tc>
          <w:tcPr>
            <w:tcW w:w="1334" w:type="dxa"/>
            <w:vAlign w:val="center"/>
          </w:tcPr>
          <w:p>
            <w:pPr>
              <w:widowControl/>
              <w:tabs>
                <w:tab w:val="right" w:pos="8820"/>
              </w:tabs>
              <w:spacing w:line="360" w:lineRule="exact"/>
              <w:jc w:val="center"/>
              <w:rPr>
                <w:rFonts w:ascii="仿宋_GB2312" w:hAnsi="宋体" w:eastAsia="仿宋_GB2312" w:cs="仿宋_GB2312"/>
                <w:b/>
                <w:sz w:val="24"/>
                <w:lang w:val="zh-CN"/>
              </w:rPr>
            </w:pPr>
            <w:r>
              <w:rPr>
                <w:rFonts w:hint="eastAsia" w:ascii="Arial" w:hAnsi="Arial" w:cs="Arial"/>
                <w:sz w:val="24"/>
              </w:rPr>
              <w:t>通讯地址</w:t>
            </w:r>
          </w:p>
        </w:tc>
        <w:tc>
          <w:tcPr>
            <w:tcW w:w="4678" w:type="dxa"/>
            <w:gridSpan w:val="4"/>
            <w:vAlign w:val="center"/>
          </w:tcPr>
          <w:p>
            <w:pPr>
              <w:widowControl/>
              <w:tabs>
                <w:tab w:val="right" w:pos="8820"/>
              </w:tabs>
              <w:spacing w:line="360" w:lineRule="exact"/>
              <w:jc w:val="center"/>
              <w:rPr>
                <w:rFonts w:ascii="仿宋_GB2312" w:hAnsi="宋体" w:eastAsia="仿宋_GB2312" w:cs="仿宋_GB2312"/>
                <w:b/>
                <w:sz w:val="24"/>
                <w:lang w:val="zh-CN"/>
              </w:rPr>
            </w:pPr>
          </w:p>
        </w:tc>
        <w:tc>
          <w:tcPr>
            <w:tcW w:w="1276" w:type="dxa"/>
            <w:vAlign w:val="center"/>
          </w:tcPr>
          <w:p>
            <w:pPr>
              <w:widowControl/>
              <w:tabs>
                <w:tab w:val="right" w:pos="8820"/>
              </w:tabs>
              <w:spacing w:line="360" w:lineRule="exact"/>
              <w:jc w:val="center"/>
              <w:rPr>
                <w:rFonts w:ascii="仿宋_GB2312" w:hAnsi="宋体" w:eastAsia="仿宋_GB2312" w:cs="仿宋_GB2312"/>
                <w:b/>
                <w:sz w:val="24"/>
                <w:lang w:val="zh-CN"/>
              </w:rPr>
            </w:pPr>
            <w:r>
              <w:rPr>
                <w:rFonts w:hint="eastAsia" w:ascii="Arial" w:hAnsi="Arial" w:cs="Arial"/>
                <w:sz w:val="24"/>
              </w:rPr>
              <w:t>邮  编</w:t>
            </w:r>
          </w:p>
        </w:tc>
        <w:tc>
          <w:tcPr>
            <w:tcW w:w="2267" w:type="dxa"/>
            <w:vAlign w:val="center"/>
          </w:tcPr>
          <w:p>
            <w:pPr>
              <w:widowControl/>
              <w:tabs>
                <w:tab w:val="right" w:pos="8820"/>
              </w:tabs>
              <w:spacing w:line="360" w:lineRule="exact"/>
              <w:jc w:val="center"/>
              <w:rPr>
                <w:rFonts w:ascii="仿宋_GB2312" w:hAnsi="宋体" w:eastAsia="仿宋_GB2312" w:cs="仿宋_GB2312"/>
                <w:b/>
                <w:sz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1334" w:type="dxa"/>
            <w:vAlign w:val="center"/>
          </w:tcPr>
          <w:p>
            <w:pPr>
              <w:widowControl/>
              <w:tabs>
                <w:tab w:val="right" w:pos="8820"/>
              </w:tabs>
              <w:spacing w:line="360" w:lineRule="exact"/>
              <w:jc w:val="center"/>
              <w:rPr>
                <w:rFonts w:ascii="Arial" w:hAnsi="Arial" w:cs="Arial"/>
                <w:sz w:val="24"/>
              </w:rPr>
            </w:pPr>
            <w:r>
              <w:rPr>
                <w:rFonts w:hint="eastAsia" w:ascii="Arial" w:hAnsi="Arial" w:cs="Arial"/>
                <w:sz w:val="24"/>
              </w:rPr>
              <w:t>联 系 人</w:t>
            </w:r>
          </w:p>
        </w:tc>
        <w:tc>
          <w:tcPr>
            <w:tcW w:w="1783" w:type="dxa"/>
            <w:gridSpan w:val="2"/>
            <w:vAlign w:val="center"/>
          </w:tcPr>
          <w:p>
            <w:pPr>
              <w:widowControl/>
              <w:tabs>
                <w:tab w:val="right" w:pos="8820"/>
              </w:tabs>
              <w:spacing w:line="360" w:lineRule="exact"/>
              <w:jc w:val="center"/>
              <w:rPr>
                <w:rFonts w:ascii="Arial" w:hAnsi="Arial" w:cs="Arial"/>
                <w:sz w:val="24"/>
              </w:rPr>
            </w:pPr>
          </w:p>
        </w:tc>
        <w:tc>
          <w:tcPr>
            <w:tcW w:w="1194" w:type="dxa"/>
            <w:tcBorders>
              <w:right w:val="single" w:color="auto" w:sz="2" w:space="0"/>
            </w:tcBorders>
          </w:tcPr>
          <w:p>
            <w:pPr>
              <w:widowControl/>
              <w:tabs>
                <w:tab w:val="right" w:pos="8820"/>
              </w:tabs>
              <w:spacing w:line="360" w:lineRule="exact"/>
              <w:jc w:val="center"/>
              <w:rPr>
                <w:rFonts w:ascii="Arial" w:hAnsi="Arial" w:cs="Arial"/>
                <w:sz w:val="24"/>
              </w:rPr>
            </w:pPr>
            <w:r>
              <w:rPr>
                <w:rFonts w:hint="eastAsia" w:ascii="Arial" w:hAnsi="Arial" w:cs="Arial"/>
                <w:sz w:val="24"/>
              </w:rPr>
              <w:t>电 话</w:t>
            </w:r>
          </w:p>
        </w:tc>
        <w:tc>
          <w:tcPr>
            <w:tcW w:w="1701" w:type="dxa"/>
            <w:tcBorders>
              <w:left w:val="single" w:color="auto" w:sz="2" w:space="0"/>
            </w:tcBorders>
            <w:vAlign w:val="center"/>
          </w:tcPr>
          <w:p>
            <w:pPr>
              <w:widowControl/>
              <w:tabs>
                <w:tab w:val="right" w:pos="8820"/>
              </w:tabs>
              <w:spacing w:line="360" w:lineRule="exact"/>
              <w:jc w:val="center"/>
              <w:rPr>
                <w:rFonts w:ascii="Arial" w:hAnsi="Arial" w:cs="Arial"/>
                <w:sz w:val="24"/>
              </w:rPr>
            </w:pPr>
          </w:p>
        </w:tc>
        <w:tc>
          <w:tcPr>
            <w:tcW w:w="1276" w:type="dxa"/>
            <w:vAlign w:val="center"/>
          </w:tcPr>
          <w:p>
            <w:pPr>
              <w:widowControl/>
              <w:tabs>
                <w:tab w:val="right" w:pos="8820"/>
              </w:tabs>
              <w:spacing w:line="360" w:lineRule="exact"/>
              <w:jc w:val="center"/>
              <w:rPr>
                <w:rFonts w:ascii="Arial" w:hAnsi="Arial" w:cs="Arial"/>
                <w:sz w:val="24"/>
              </w:rPr>
            </w:pPr>
            <w:r>
              <w:rPr>
                <w:rFonts w:hint="eastAsia" w:ascii="Arial" w:hAnsi="Arial" w:cs="Arial"/>
                <w:sz w:val="24"/>
              </w:rPr>
              <w:t>传  真</w:t>
            </w:r>
          </w:p>
        </w:tc>
        <w:tc>
          <w:tcPr>
            <w:tcW w:w="2267" w:type="dxa"/>
            <w:vAlign w:val="center"/>
          </w:tcPr>
          <w:p>
            <w:pPr>
              <w:widowControl/>
              <w:tabs>
                <w:tab w:val="right" w:pos="8820"/>
              </w:tabs>
              <w:spacing w:line="360" w:lineRule="exact"/>
              <w:jc w:val="center"/>
              <w:rPr>
                <w:rFonts w:ascii="Arial" w:hAnsi="Arial" w:cs="Arial"/>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1334" w:type="dxa"/>
            <w:vAlign w:val="center"/>
          </w:tcPr>
          <w:p>
            <w:pPr>
              <w:widowControl/>
              <w:tabs>
                <w:tab w:val="right" w:pos="8820"/>
              </w:tabs>
              <w:spacing w:line="360" w:lineRule="exact"/>
              <w:jc w:val="center"/>
              <w:rPr>
                <w:rFonts w:ascii="Arial" w:hAnsi="Arial" w:cs="Arial"/>
                <w:sz w:val="24"/>
              </w:rPr>
            </w:pPr>
            <w:r>
              <w:rPr>
                <w:rFonts w:hint="eastAsia" w:ascii="Arial" w:hAnsi="Arial" w:cs="Arial"/>
                <w:sz w:val="24"/>
              </w:rPr>
              <w:t>电子邮件</w:t>
            </w:r>
          </w:p>
        </w:tc>
        <w:tc>
          <w:tcPr>
            <w:tcW w:w="4678" w:type="dxa"/>
            <w:gridSpan w:val="4"/>
            <w:vAlign w:val="center"/>
          </w:tcPr>
          <w:p>
            <w:pPr>
              <w:widowControl/>
              <w:tabs>
                <w:tab w:val="right" w:pos="8820"/>
              </w:tabs>
              <w:spacing w:line="360" w:lineRule="exact"/>
              <w:jc w:val="center"/>
              <w:rPr>
                <w:rFonts w:ascii="Arial" w:hAnsi="Arial" w:cs="Arial"/>
                <w:sz w:val="24"/>
              </w:rPr>
            </w:pPr>
          </w:p>
        </w:tc>
        <w:tc>
          <w:tcPr>
            <w:tcW w:w="1276" w:type="dxa"/>
            <w:vAlign w:val="center"/>
          </w:tcPr>
          <w:p>
            <w:pPr>
              <w:widowControl/>
              <w:tabs>
                <w:tab w:val="right" w:pos="8820"/>
              </w:tabs>
              <w:spacing w:line="360" w:lineRule="exact"/>
              <w:jc w:val="center"/>
              <w:rPr>
                <w:rFonts w:ascii="Arial" w:hAnsi="Arial" w:cs="Arial"/>
                <w:sz w:val="24"/>
              </w:rPr>
            </w:pPr>
            <w:r>
              <w:rPr>
                <w:rFonts w:hint="eastAsia" w:ascii="Arial" w:hAnsi="Arial" w:cs="Arial"/>
                <w:sz w:val="24"/>
              </w:rPr>
              <w:t>参会人数</w:t>
            </w:r>
          </w:p>
        </w:tc>
        <w:tc>
          <w:tcPr>
            <w:tcW w:w="2267" w:type="dxa"/>
            <w:vAlign w:val="center"/>
          </w:tcPr>
          <w:p>
            <w:pPr>
              <w:widowControl/>
              <w:tabs>
                <w:tab w:val="right" w:pos="8820"/>
              </w:tabs>
              <w:spacing w:line="360" w:lineRule="exact"/>
              <w:jc w:val="center"/>
              <w:rPr>
                <w:rFonts w:ascii="Arial" w:hAnsi="Arial" w:cs="Arial"/>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 w:hRule="atLeast"/>
          <w:jc w:val="center"/>
        </w:trPr>
        <w:tc>
          <w:tcPr>
            <w:tcW w:w="1334" w:type="dxa"/>
            <w:vAlign w:val="center"/>
          </w:tcPr>
          <w:p>
            <w:pPr>
              <w:widowControl/>
              <w:tabs>
                <w:tab w:val="right" w:pos="8820"/>
              </w:tabs>
              <w:spacing w:line="500" w:lineRule="exact"/>
              <w:jc w:val="center"/>
              <w:rPr>
                <w:rFonts w:ascii="Arial" w:hAnsi="Arial" w:cs="Arial"/>
                <w:sz w:val="24"/>
              </w:rPr>
            </w:pPr>
            <w:r>
              <w:rPr>
                <w:rFonts w:hint="eastAsia" w:ascii="Arial" w:hAnsi="Arial" w:cs="Arial"/>
                <w:sz w:val="24"/>
              </w:rPr>
              <w:t>姓   名</w:t>
            </w:r>
          </w:p>
        </w:tc>
        <w:tc>
          <w:tcPr>
            <w:tcW w:w="1307" w:type="dxa"/>
            <w:vAlign w:val="center"/>
          </w:tcPr>
          <w:p>
            <w:pPr>
              <w:widowControl/>
              <w:tabs>
                <w:tab w:val="right" w:pos="8820"/>
              </w:tabs>
              <w:spacing w:line="500" w:lineRule="exact"/>
              <w:jc w:val="center"/>
              <w:rPr>
                <w:rFonts w:ascii="Arial" w:hAnsi="Arial" w:cs="Arial"/>
                <w:sz w:val="24"/>
              </w:rPr>
            </w:pPr>
            <w:r>
              <w:rPr>
                <w:rFonts w:hint="eastAsia" w:ascii="Arial" w:hAnsi="Arial" w:cs="Arial"/>
                <w:sz w:val="24"/>
              </w:rPr>
              <w:t>性  别</w:t>
            </w:r>
          </w:p>
        </w:tc>
        <w:tc>
          <w:tcPr>
            <w:tcW w:w="1670" w:type="dxa"/>
            <w:gridSpan w:val="2"/>
            <w:tcBorders>
              <w:right w:val="single" w:color="auto" w:sz="2" w:space="0"/>
            </w:tcBorders>
          </w:tcPr>
          <w:p>
            <w:pPr>
              <w:widowControl/>
              <w:tabs>
                <w:tab w:val="right" w:pos="8820"/>
              </w:tabs>
              <w:spacing w:line="500" w:lineRule="exact"/>
              <w:jc w:val="center"/>
              <w:rPr>
                <w:rFonts w:ascii="Arial" w:hAnsi="Arial" w:cs="Arial"/>
                <w:sz w:val="24"/>
              </w:rPr>
            </w:pPr>
            <w:r>
              <w:rPr>
                <w:rFonts w:hint="eastAsia" w:ascii="Arial" w:hAnsi="Arial" w:cs="Arial"/>
                <w:sz w:val="24"/>
              </w:rPr>
              <w:t>部门及职务</w:t>
            </w:r>
          </w:p>
        </w:tc>
        <w:tc>
          <w:tcPr>
            <w:tcW w:w="5244" w:type="dxa"/>
            <w:gridSpan w:val="3"/>
            <w:tcBorders>
              <w:left w:val="single" w:color="auto" w:sz="2" w:space="0"/>
            </w:tcBorders>
          </w:tcPr>
          <w:p>
            <w:pPr>
              <w:widowControl/>
              <w:tabs>
                <w:tab w:val="right" w:pos="8820"/>
              </w:tabs>
              <w:spacing w:line="500" w:lineRule="exact"/>
              <w:jc w:val="center"/>
              <w:rPr>
                <w:rFonts w:ascii="Arial" w:hAnsi="Arial" w:cs="Arial"/>
                <w:sz w:val="24"/>
              </w:rPr>
            </w:pPr>
            <w:r>
              <w:rPr>
                <w:rFonts w:hint="eastAsia" w:ascii="Arial" w:hAnsi="Arial" w:cs="Arial"/>
                <w:sz w:val="24"/>
              </w:rPr>
              <w:t>电话、手机、电子邮件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334" w:type="dxa"/>
            <w:vAlign w:val="center"/>
          </w:tcPr>
          <w:p>
            <w:pPr>
              <w:widowControl/>
              <w:tabs>
                <w:tab w:val="right" w:pos="8820"/>
              </w:tabs>
              <w:spacing w:line="360" w:lineRule="exact"/>
              <w:jc w:val="center"/>
              <w:rPr>
                <w:rFonts w:ascii="仿宋_GB2312" w:hAnsi="宋体" w:eastAsia="仿宋_GB2312" w:cs="仿宋_GB2312"/>
                <w:b/>
                <w:sz w:val="24"/>
                <w:lang w:val="zh-CN"/>
              </w:rPr>
            </w:pPr>
          </w:p>
        </w:tc>
        <w:tc>
          <w:tcPr>
            <w:tcW w:w="1307" w:type="dxa"/>
            <w:vAlign w:val="center"/>
          </w:tcPr>
          <w:p>
            <w:pPr>
              <w:widowControl/>
              <w:tabs>
                <w:tab w:val="right" w:pos="8820"/>
              </w:tabs>
              <w:spacing w:line="360" w:lineRule="exact"/>
              <w:jc w:val="center"/>
              <w:rPr>
                <w:rFonts w:ascii="仿宋_GB2312" w:hAnsi="宋体" w:eastAsia="仿宋_GB2312" w:cs="仿宋_GB2312"/>
                <w:b/>
                <w:sz w:val="24"/>
                <w:lang w:val="zh-CN"/>
              </w:rPr>
            </w:pPr>
          </w:p>
        </w:tc>
        <w:tc>
          <w:tcPr>
            <w:tcW w:w="1670" w:type="dxa"/>
            <w:gridSpan w:val="2"/>
            <w:tcBorders>
              <w:right w:val="single" w:color="auto" w:sz="2" w:space="0"/>
            </w:tcBorders>
          </w:tcPr>
          <w:p>
            <w:pPr>
              <w:widowControl/>
              <w:tabs>
                <w:tab w:val="right" w:pos="8820"/>
              </w:tabs>
              <w:spacing w:line="360" w:lineRule="exact"/>
              <w:jc w:val="center"/>
              <w:rPr>
                <w:rFonts w:ascii="仿宋_GB2312" w:hAnsi="宋体" w:eastAsia="仿宋_GB2312" w:cs="仿宋_GB2312"/>
                <w:b/>
                <w:sz w:val="24"/>
                <w:lang w:val="zh-CN"/>
              </w:rPr>
            </w:pPr>
          </w:p>
        </w:tc>
        <w:tc>
          <w:tcPr>
            <w:tcW w:w="5244" w:type="dxa"/>
            <w:gridSpan w:val="3"/>
            <w:tcBorders>
              <w:left w:val="single" w:color="auto" w:sz="2" w:space="0"/>
            </w:tcBorders>
          </w:tcPr>
          <w:p>
            <w:pPr>
              <w:widowControl/>
              <w:tabs>
                <w:tab w:val="right" w:pos="8820"/>
              </w:tabs>
              <w:spacing w:line="360" w:lineRule="exact"/>
              <w:jc w:val="center"/>
              <w:rPr>
                <w:rFonts w:ascii="仿宋_GB2312" w:hAnsi="宋体" w:eastAsia="仿宋_GB2312" w:cs="仿宋_GB2312"/>
                <w:b/>
                <w:sz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334" w:type="dxa"/>
            <w:vAlign w:val="center"/>
          </w:tcPr>
          <w:p>
            <w:pPr>
              <w:widowControl/>
              <w:tabs>
                <w:tab w:val="right" w:pos="8820"/>
              </w:tabs>
              <w:spacing w:line="360" w:lineRule="exact"/>
              <w:jc w:val="center"/>
              <w:rPr>
                <w:rFonts w:ascii="仿宋_GB2312" w:hAnsi="宋体" w:eastAsia="仿宋_GB2312" w:cs="仿宋_GB2312"/>
                <w:b/>
                <w:sz w:val="24"/>
                <w:lang w:val="zh-CN"/>
              </w:rPr>
            </w:pPr>
          </w:p>
        </w:tc>
        <w:tc>
          <w:tcPr>
            <w:tcW w:w="1307" w:type="dxa"/>
            <w:vAlign w:val="center"/>
          </w:tcPr>
          <w:p>
            <w:pPr>
              <w:widowControl/>
              <w:tabs>
                <w:tab w:val="right" w:pos="8820"/>
              </w:tabs>
              <w:spacing w:line="360" w:lineRule="exact"/>
              <w:jc w:val="center"/>
              <w:rPr>
                <w:rFonts w:ascii="仿宋_GB2312" w:hAnsi="宋体" w:eastAsia="仿宋_GB2312" w:cs="仿宋_GB2312"/>
                <w:b/>
                <w:sz w:val="24"/>
                <w:lang w:val="zh-CN"/>
              </w:rPr>
            </w:pPr>
          </w:p>
        </w:tc>
        <w:tc>
          <w:tcPr>
            <w:tcW w:w="1670" w:type="dxa"/>
            <w:gridSpan w:val="2"/>
            <w:tcBorders>
              <w:right w:val="single" w:color="auto" w:sz="2" w:space="0"/>
            </w:tcBorders>
          </w:tcPr>
          <w:p>
            <w:pPr>
              <w:widowControl/>
              <w:tabs>
                <w:tab w:val="right" w:pos="8820"/>
              </w:tabs>
              <w:spacing w:line="360" w:lineRule="exact"/>
              <w:jc w:val="center"/>
              <w:rPr>
                <w:rFonts w:ascii="仿宋_GB2312" w:hAnsi="宋体" w:eastAsia="仿宋_GB2312" w:cs="仿宋_GB2312"/>
                <w:b/>
                <w:sz w:val="24"/>
                <w:lang w:val="zh-CN"/>
              </w:rPr>
            </w:pPr>
          </w:p>
        </w:tc>
        <w:tc>
          <w:tcPr>
            <w:tcW w:w="5244" w:type="dxa"/>
            <w:gridSpan w:val="3"/>
            <w:tcBorders>
              <w:left w:val="single" w:color="auto" w:sz="2" w:space="0"/>
            </w:tcBorders>
          </w:tcPr>
          <w:p>
            <w:pPr>
              <w:widowControl/>
              <w:tabs>
                <w:tab w:val="right" w:pos="8820"/>
              </w:tabs>
              <w:spacing w:line="360" w:lineRule="exact"/>
              <w:jc w:val="center"/>
              <w:rPr>
                <w:rFonts w:ascii="仿宋_GB2312" w:hAnsi="宋体" w:eastAsia="仿宋_GB2312" w:cs="仿宋_GB2312"/>
                <w:b/>
                <w:sz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334" w:type="dxa"/>
            <w:vAlign w:val="center"/>
          </w:tcPr>
          <w:p>
            <w:pPr>
              <w:widowControl/>
              <w:tabs>
                <w:tab w:val="right" w:pos="8820"/>
              </w:tabs>
              <w:spacing w:line="360" w:lineRule="exact"/>
              <w:jc w:val="center"/>
              <w:rPr>
                <w:rFonts w:ascii="仿宋_GB2312" w:hAnsi="宋体" w:eastAsia="仿宋_GB2312" w:cs="仿宋_GB2312"/>
                <w:b/>
                <w:sz w:val="24"/>
                <w:lang w:val="zh-CN"/>
              </w:rPr>
            </w:pPr>
          </w:p>
        </w:tc>
        <w:tc>
          <w:tcPr>
            <w:tcW w:w="1307" w:type="dxa"/>
            <w:vAlign w:val="center"/>
          </w:tcPr>
          <w:p>
            <w:pPr>
              <w:widowControl/>
              <w:tabs>
                <w:tab w:val="right" w:pos="8820"/>
              </w:tabs>
              <w:spacing w:line="360" w:lineRule="exact"/>
              <w:jc w:val="center"/>
              <w:rPr>
                <w:rFonts w:ascii="仿宋_GB2312" w:hAnsi="宋体" w:eastAsia="仿宋_GB2312" w:cs="仿宋_GB2312"/>
                <w:b/>
                <w:sz w:val="24"/>
                <w:lang w:val="zh-CN"/>
              </w:rPr>
            </w:pPr>
          </w:p>
        </w:tc>
        <w:tc>
          <w:tcPr>
            <w:tcW w:w="1670" w:type="dxa"/>
            <w:gridSpan w:val="2"/>
            <w:tcBorders>
              <w:right w:val="single" w:color="auto" w:sz="2" w:space="0"/>
            </w:tcBorders>
          </w:tcPr>
          <w:p>
            <w:pPr>
              <w:widowControl/>
              <w:tabs>
                <w:tab w:val="right" w:pos="8820"/>
              </w:tabs>
              <w:spacing w:line="360" w:lineRule="exact"/>
              <w:jc w:val="center"/>
              <w:rPr>
                <w:rFonts w:ascii="仿宋_GB2312" w:hAnsi="宋体" w:eastAsia="仿宋_GB2312" w:cs="仿宋_GB2312"/>
                <w:b/>
                <w:sz w:val="24"/>
                <w:lang w:val="zh-CN"/>
              </w:rPr>
            </w:pPr>
          </w:p>
        </w:tc>
        <w:tc>
          <w:tcPr>
            <w:tcW w:w="5244" w:type="dxa"/>
            <w:gridSpan w:val="3"/>
            <w:tcBorders>
              <w:left w:val="single" w:color="auto" w:sz="2" w:space="0"/>
            </w:tcBorders>
          </w:tcPr>
          <w:p>
            <w:pPr>
              <w:widowControl/>
              <w:tabs>
                <w:tab w:val="right" w:pos="8820"/>
              </w:tabs>
              <w:spacing w:line="360" w:lineRule="exact"/>
              <w:jc w:val="center"/>
              <w:rPr>
                <w:rFonts w:ascii="仿宋_GB2312" w:hAnsi="宋体" w:eastAsia="仿宋_GB2312" w:cs="仿宋_GB2312"/>
                <w:b/>
                <w:sz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22" w:hRule="atLeast"/>
          <w:jc w:val="center"/>
        </w:trPr>
        <w:tc>
          <w:tcPr>
            <w:tcW w:w="9555" w:type="dxa"/>
            <w:gridSpan w:val="7"/>
            <w:tcBorders>
              <w:bottom w:val="single" w:color="auto" w:sz="4" w:space="0"/>
            </w:tcBorders>
            <w:vAlign w:val="center"/>
          </w:tcPr>
          <w:p>
            <w:pPr>
              <w:widowControl/>
              <w:tabs>
                <w:tab w:val="right" w:pos="8820"/>
              </w:tabs>
              <w:spacing w:line="360" w:lineRule="exact"/>
              <w:rPr>
                <w:rFonts w:ascii="Arial" w:hAnsi="Arial" w:cs="Arial"/>
                <w:sz w:val="24"/>
              </w:rPr>
            </w:pPr>
            <w:r>
              <w:rPr>
                <w:rFonts w:hint="eastAsia" w:ascii="Arial" w:hAnsi="Arial" w:cs="Arial"/>
                <w:sz w:val="24"/>
              </w:rPr>
              <w:t>开发票单位全称：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44" w:hRule="atLeast"/>
          <w:jc w:val="center"/>
        </w:trPr>
        <w:tc>
          <w:tcPr>
            <w:tcW w:w="1334" w:type="dxa"/>
            <w:tcBorders>
              <w:top w:val="single" w:color="auto" w:sz="4" w:space="0"/>
              <w:bottom w:val="single" w:color="auto" w:sz="4" w:space="0"/>
              <w:right w:val="single" w:color="auto" w:sz="4" w:space="0"/>
            </w:tcBorders>
            <w:vAlign w:val="center"/>
          </w:tcPr>
          <w:p>
            <w:pPr>
              <w:tabs>
                <w:tab w:val="right" w:pos="8820"/>
              </w:tabs>
              <w:spacing w:line="360" w:lineRule="exact"/>
              <w:rPr>
                <w:rFonts w:ascii="Arial" w:hAnsi="Arial" w:cs="Arial"/>
                <w:sz w:val="24"/>
              </w:rPr>
            </w:pPr>
            <w:r>
              <w:rPr>
                <w:rFonts w:hint="eastAsia" w:ascii="Arial" w:hAnsi="Arial" w:cs="Arial"/>
                <w:sz w:val="24"/>
              </w:rPr>
              <w:t>普票可开：</w:t>
            </w:r>
          </w:p>
        </w:tc>
        <w:tc>
          <w:tcPr>
            <w:tcW w:w="8221" w:type="dxa"/>
            <w:gridSpan w:val="6"/>
            <w:tcBorders>
              <w:top w:val="single" w:color="auto" w:sz="4" w:space="0"/>
              <w:left w:val="single" w:color="auto" w:sz="4" w:space="0"/>
              <w:bottom w:val="single" w:color="auto" w:sz="4" w:space="0"/>
            </w:tcBorders>
            <w:vAlign w:val="center"/>
          </w:tcPr>
          <w:p>
            <w:pPr>
              <w:tabs>
                <w:tab w:val="right" w:pos="8820"/>
              </w:tabs>
              <w:spacing w:line="360" w:lineRule="exact"/>
              <w:ind w:left="87"/>
              <w:rPr>
                <w:rFonts w:ascii="Arial" w:hAnsi="Arial" w:cs="Arial"/>
                <w:sz w:val="24"/>
              </w:rPr>
            </w:pPr>
            <w:r>
              <w:rPr>
                <w:rFonts w:hint="eastAsia" w:ascii="Arial" w:hAnsi="Arial" w:cs="Arial"/>
                <w:sz w:val="24"/>
              </w:rPr>
              <w:t xml:space="preserve">会议费□    会务费□     培训费□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9" w:hRule="atLeast"/>
          <w:jc w:val="center"/>
        </w:trPr>
        <w:tc>
          <w:tcPr>
            <w:tcW w:w="1334" w:type="dxa"/>
            <w:tcBorders>
              <w:top w:val="nil"/>
              <w:bottom w:val="single" w:color="auto" w:sz="4" w:space="0"/>
              <w:right w:val="single" w:color="auto" w:sz="4" w:space="0"/>
            </w:tcBorders>
            <w:vAlign w:val="center"/>
          </w:tcPr>
          <w:p>
            <w:pPr>
              <w:widowControl/>
              <w:tabs>
                <w:tab w:val="right" w:pos="8820"/>
              </w:tabs>
              <w:spacing w:line="360" w:lineRule="exact"/>
              <w:jc w:val="center"/>
              <w:rPr>
                <w:rFonts w:ascii="Arial" w:hAnsi="Arial" w:cs="Arial"/>
                <w:sz w:val="24"/>
              </w:rPr>
            </w:pPr>
            <w:r>
              <w:rPr>
                <w:rFonts w:hint="eastAsia" w:ascii="Arial" w:hAnsi="Arial" w:cs="Arial"/>
                <w:sz w:val="24"/>
              </w:rPr>
              <w:t>开增值税专用发票信息</w:t>
            </w:r>
          </w:p>
        </w:tc>
        <w:tc>
          <w:tcPr>
            <w:tcW w:w="8221" w:type="dxa"/>
            <w:gridSpan w:val="6"/>
            <w:tcBorders>
              <w:top w:val="nil"/>
              <w:left w:val="single" w:color="auto" w:sz="4" w:space="0"/>
              <w:bottom w:val="single" w:color="auto" w:sz="4" w:space="0"/>
            </w:tcBorders>
            <w:vAlign w:val="center"/>
          </w:tcPr>
          <w:p>
            <w:pPr>
              <w:widowControl/>
              <w:spacing w:line="360" w:lineRule="exact"/>
              <w:jc w:val="left"/>
              <w:rPr>
                <w:rFonts w:ascii="Arial" w:hAnsi="Arial" w:cs="Arial"/>
                <w:sz w:val="24"/>
              </w:rPr>
            </w:pPr>
            <w:r>
              <w:rPr>
                <w:rFonts w:hint="eastAsia" w:ascii="Arial" w:hAnsi="Arial" w:cs="Arial"/>
                <w:sz w:val="24"/>
              </w:rPr>
              <w:t>请填写详细信息开具增值税专用发票。</w:t>
            </w:r>
          </w:p>
          <w:p>
            <w:pPr>
              <w:spacing w:line="360" w:lineRule="exact"/>
              <w:rPr>
                <w:rFonts w:ascii="Arial" w:hAnsi="Arial" w:cs="Arial"/>
                <w:sz w:val="24"/>
              </w:rPr>
            </w:pPr>
            <w:r>
              <w:rPr>
                <w:rFonts w:hint="eastAsia" w:ascii="Arial" w:hAnsi="Arial" w:cs="Arial"/>
                <w:sz w:val="24"/>
              </w:rPr>
              <w:t>纳税人识别号：</w:t>
            </w:r>
          </w:p>
          <w:p>
            <w:pPr>
              <w:spacing w:line="360" w:lineRule="exact"/>
              <w:rPr>
                <w:rFonts w:ascii="Arial" w:hAnsi="Arial" w:cs="Arial"/>
                <w:sz w:val="24"/>
              </w:rPr>
            </w:pPr>
            <w:r>
              <w:rPr>
                <w:rFonts w:hint="eastAsia" w:ascii="Arial" w:hAnsi="Arial" w:cs="Arial"/>
                <w:sz w:val="24"/>
              </w:rPr>
              <w:t>地址、电话：</w:t>
            </w:r>
          </w:p>
          <w:p>
            <w:pPr>
              <w:widowControl/>
              <w:tabs>
                <w:tab w:val="right" w:pos="8820"/>
              </w:tabs>
              <w:spacing w:line="360" w:lineRule="exact"/>
              <w:ind w:right="123"/>
              <w:rPr>
                <w:rFonts w:ascii="Arial" w:hAnsi="Arial" w:cs="Arial"/>
                <w:sz w:val="24"/>
              </w:rPr>
            </w:pPr>
            <w:r>
              <w:rPr>
                <w:rFonts w:hint="eastAsia" w:ascii="Arial" w:hAnsi="Arial" w:cs="Arial"/>
                <w:sz w:val="24"/>
              </w:rPr>
              <w:t>开户行地址、账号：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jc w:val="center"/>
        </w:trPr>
        <w:tc>
          <w:tcPr>
            <w:tcW w:w="1334" w:type="dxa"/>
            <w:tcBorders>
              <w:top w:val="single" w:color="auto" w:sz="4" w:space="0"/>
              <w:bottom w:val="single" w:color="auto" w:sz="4" w:space="0"/>
            </w:tcBorders>
            <w:vAlign w:val="center"/>
          </w:tcPr>
          <w:p>
            <w:pPr>
              <w:tabs>
                <w:tab w:val="right" w:pos="8820"/>
              </w:tabs>
              <w:spacing w:line="360" w:lineRule="exact"/>
              <w:jc w:val="center"/>
              <w:rPr>
                <w:rFonts w:ascii="Arial" w:hAnsi="Arial" w:cs="Arial"/>
                <w:sz w:val="24"/>
              </w:rPr>
            </w:pPr>
            <w:r>
              <w:rPr>
                <w:rFonts w:hint="eastAsia" w:ascii="Arial" w:hAnsi="Arial" w:cs="Arial"/>
                <w:sz w:val="24"/>
              </w:rPr>
              <w:t>住宿要求：</w:t>
            </w:r>
          </w:p>
        </w:tc>
        <w:tc>
          <w:tcPr>
            <w:tcW w:w="8221" w:type="dxa"/>
            <w:gridSpan w:val="6"/>
            <w:tcBorders>
              <w:top w:val="single" w:color="auto" w:sz="4" w:space="0"/>
              <w:bottom w:val="single" w:color="auto" w:sz="4" w:space="0"/>
            </w:tcBorders>
            <w:vAlign w:val="center"/>
          </w:tcPr>
          <w:p>
            <w:pPr>
              <w:spacing w:line="360" w:lineRule="exact"/>
              <w:rPr>
                <w:rFonts w:ascii="Arial" w:hAnsi="Arial" w:cs="Arial"/>
                <w:sz w:val="24"/>
              </w:rPr>
            </w:pPr>
            <w:r>
              <w:rPr>
                <w:rFonts w:hint="eastAsia" w:ascii="Arial" w:hAnsi="Arial" w:cs="Arial"/>
                <w:sz w:val="24"/>
              </w:rPr>
              <w:t>单间□     标准间□    不住宿□    入住时间：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41" w:hRule="atLeast"/>
          <w:jc w:val="center"/>
        </w:trPr>
        <w:tc>
          <w:tcPr>
            <w:tcW w:w="1334" w:type="dxa"/>
            <w:tcBorders>
              <w:top w:val="single" w:color="auto" w:sz="4" w:space="0"/>
            </w:tcBorders>
            <w:vAlign w:val="center"/>
          </w:tcPr>
          <w:p>
            <w:pPr>
              <w:widowControl/>
              <w:tabs>
                <w:tab w:val="right" w:pos="8820"/>
              </w:tabs>
              <w:spacing w:line="360" w:lineRule="exact"/>
              <w:jc w:val="center"/>
              <w:rPr>
                <w:rFonts w:ascii="Arial" w:hAnsi="Arial" w:cs="Arial"/>
                <w:sz w:val="24"/>
              </w:rPr>
            </w:pPr>
            <w:r>
              <w:rPr>
                <w:rFonts w:hint="eastAsia" w:ascii="Arial" w:hAnsi="Arial" w:cs="Arial"/>
                <w:sz w:val="24"/>
              </w:rPr>
              <w:t>参会选项</w:t>
            </w:r>
          </w:p>
          <w:p>
            <w:pPr>
              <w:tabs>
                <w:tab w:val="right" w:pos="8820"/>
              </w:tabs>
              <w:spacing w:line="360" w:lineRule="exact"/>
              <w:jc w:val="center"/>
              <w:rPr>
                <w:rFonts w:ascii="Arial" w:hAnsi="Arial" w:cs="Arial"/>
                <w:sz w:val="24"/>
              </w:rPr>
            </w:pPr>
            <w:r>
              <w:rPr>
                <w:rFonts w:hint="eastAsia" w:ascii="Arial" w:hAnsi="Arial" w:cs="Arial"/>
                <w:sz w:val="24"/>
              </w:rPr>
              <w:t>（请√选）</w:t>
            </w:r>
          </w:p>
        </w:tc>
        <w:tc>
          <w:tcPr>
            <w:tcW w:w="8221" w:type="dxa"/>
            <w:gridSpan w:val="6"/>
            <w:tcBorders>
              <w:top w:val="single" w:color="auto" w:sz="4" w:space="0"/>
            </w:tcBorders>
            <w:vAlign w:val="center"/>
          </w:tcPr>
          <w:p>
            <w:pPr>
              <w:widowControl/>
              <w:spacing w:line="320" w:lineRule="exact"/>
              <w:rPr>
                <w:rFonts w:ascii="Arial" w:hAnsi="Arial" w:cs="Arial"/>
                <w:sz w:val="24"/>
              </w:rPr>
            </w:pPr>
            <w:r>
              <w:rPr>
                <w:rFonts w:hint="eastAsia" w:ascii="Arial" w:hAnsi="Arial" w:cs="Arial"/>
                <w:sz w:val="24"/>
              </w:rPr>
              <w:t xml:space="preserve">1、付款方式：□网银    □支票（限北京）    □支付宝     </w:t>
            </w:r>
          </w:p>
          <w:p>
            <w:pPr>
              <w:widowControl/>
              <w:spacing w:line="320" w:lineRule="exact"/>
              <w:rPr>
                <w:rFonts w:ascii="Arial" w:hAnsi="Arial" w:cs="Arial"/>
                <w:sz w:val="24"/>
              </w:rPr>
            </w:pPr>
            <w:r>
              <w:rPr>
                <w:rFonts w:hint="eastAsia" w:ascii="Arial" w:hAnsi="Arial" w:cs="Arial"/>
                <w:sz w:val="24"/>
              </w:rPr>
              <w:t>2、会务费汇出后，请将汇款凭证邮件、传真至会务处收，以便及时确认。</w:t>
            </w:r>
          </w:p>
          <w:p>
            <w:pPr>
              <w:widowControl/>
              <w:spacing w:line="320" w:lineRule="exact"/>
              <w:rPr>
                <w:rFonts w:ascii="Arial" w:hAnsi="Arial" w:cs="Arial"/>
                <w:sz w:val="24"/>
              </w:rPr>
            </w:pPr>
            <w:r>
              <w:rPr>
                <w:rFonts w:hint="eastAsia" w:ascii="Arial" w:hAnsi="Arial" w:cs="Arial"/>
                <w:sz w:val="24"/>
              </w:rPr>
              <w:t>3、会务费请汇至：</w:t>
            </w:r>
          </w:p>
          <w:p>
            <w:pPr>
              <w:widowControl/>
              <w:tabs>
                <w:tab w:val="right" w:pos="8820"/>
              </w:tabs>
              <w:spacing w:line="320" w:lineRule="exact"/>
              <w:ind w:left="134" w:leftChars="64" w:right="123" w:firstLine="120" w:firstLineChars="50"/>
              <w:rPr>
                <w:rFonts w:hint="eastAsia" w:ascii="Arial" w:hAnsi="Arial" w:cs="Arial"/>
                <w:b/>
                <w:sz w:val="24"/>
              </w:rPr>
            </w:pPr>
            <w:r>
              <w:rPr>
                <w:rFonts w:hint="eastAsia" w:ascii="Arial" w:hAnsi="Arial" w:cs="Arial"/>
                <w:b/>
                <w:sz w:val="24"/>
              </w:rPr>
              <w:t xml:space="preserve"> 开户名称：北京中经皓宇管理咨询有限公司</w:t>
            </w:r>
          </w:p>
          <w:p>
            <w:pPr>
              <w:widowControl/>
              <w:tabs>
                <w:tab w:val="right" w:pos="8820"/>
              </w:tabs>
              <w:spacing w:line="320" w:lineRule="exact"/>
              <w:ind w:left="134" w:leftChars="64" w:right="123" w:firstLine="120" w:firstLineChars="50"/>
              <w:rPr>
                <w:rFonts w:hint="eastAsia" w:ascii="Arial" w:hAnsi="Arial" w:cs="Arial"/>
                <w:b/>
                <w:sz w:val="24"/>
              </w:rPr>
            </w:pPr>
            <w:r>
              <w:rPr>
                <w:rFonts w:hint="eastAsia" w:ascii="Arial" w:hAnsi="Arial" w:cs="Arial"/>
                <w:b/>
                <w:sz w:val="24"/>
              </w:rPr>
              <w:t xml:space="preserve"> 开户银行：邮政储蓄银行北京丰台区右安南桥支行</w:t>
            </w:r>
          </w:p>
          <w:p>
            <w:pPr>
              <w:spacing w:line="320" w:lineRule="exact"/>
              <w:rPr>
                <w:rFonts w:ascii="Arial" w:hAnsi="Arial" w:cs="Arial"/>
                <w:sz w:val="24"/>
              </w:rPr>
            </w:pPr>
            <w:r>
              <w:rPr>
                <w:rFonts w:hint="eastAsia" w:ascii="Arial" w:hAnsi="Arial" w:cs="Arial"/>
                <w:b/>
                <w:sz w:val="24"/>
              </w:rPr>
              <w:t xml:space="preserve">   帐    号：100228378010016666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9555" w:type="dxa"/>
            <w:gridSpan w:val="7"/>
            <w:tcBorders>
              <w:bottom w:val="single" w:color="auto" w:sz="4" w:space="0"/>
            </w:tcBorders>
            <w:vAlign w:val="center"/>
          </w:tcPr>
          <w:p>
            <w:pPr>
              <w:widowControl/>
              <w:tabs>
                <w:tab w:val="right" w:pos="8820"/>
              </w:tabs>
              <w:spacing w:line="360" w:lineRule="exact"/>
              <w:jc w:val="center"/>
              <w:rPr>
                <w:rFonts w:ascii="Arial" w:hAnsi="Arial" w:cs="Arial"/>
                <w:sz w:val="28"/>
                <w:szCs w:val="28"/>
              </w:rPr>
            </w:pPr>
            <w:r>
              <w:rPr>
                <w:rFonts w:hint="eastAsia" w:ascii="Arial" w:hAnsi="Arial" w:cs="Arial"/>
                <w:sz w:val="28"/>
                <w:szCs w:val="28"/>
              </w:rPr>
              <w:t>* 以下内容融资租赁公司填写，方便融资租赁项目对接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8" w:hRule="atLeast"/>
          <w:jc w:val="center"/>
        </w:trPr>
        <w:tc>
          <w:tcPr>
            <w:tcW w:w="1334" w:type="dxa"/>
            <w:tcBorders>
              <w:top w:val="single" w:color="auto" w:sz="4" w:space="0"/>
              <w:right w:val="single" w:color="auto" w:sz="4" w:space="0"/>
            </w:tcBorders>
            <w:vAlign w:val="center"/>
          </w:tcPr>
          <w:p>
            <w:pPr>
              <w:tabs>
                <w:tab w:val="right" w:pos="8820"/>
              </w:tabs>
              <w:spacing w:line="360" w:lineRule="exact"/>
              <w:jc w:val="center"/>
              <w:rPr>
                <w:rFonts w:ascii="Arial" w:hAnsi="Arial" w:cs="Arial"/>
                <w:sz w:val="24"/>
              </w:rPr>
            </w:pPr>
            <w:r>
              <w:rPr>
                <w:rFonts w:hint="eastAsia" w:ascii="Arial" w:hAnsi="Arial" w:cs="Arial"/>
                <w:sz w:val="24"/>
              </w:rPr>
              <w:t xml:space="preserve">主要服务行业（请√选） </w:t>
            </w:r>
          </w:p>
        </w:tc>
        <w:tc>
          <w:tcPr>
            <w:tcW w:w="8221" w:type="dxa"/>
            <w:gridSpan w:val="6"/>
            <w:tcBorders>
              <w:top w:val="single" w:color="auto" w:sz="4" w:space="0"/>
              <w:left w:val="single" w:color="auto" w:sz="4" w:space="0"/>
            </w:tcBorders>
            <w:vAlign w:val="center"/>
          </w:tcPr>
          <w:p>
            <w:pPr>
              <w:tabs>
                <w:tab w:val="right" w:pos="8820"/>
              </w:tabs>
              <w:spacing w:line="360" w:lineRule="exact"/>
              <w:jc w:val="left"/>
              <w:rPr>
                <w:rFonts w:ascii="Arial" w:hAnsi="Arial" w:cs="Arial"/>
                <w:sz w:val="24"/>
              </w:rPr>
            </w:pPr>
            <w:r>
              <w:rPr>
                <w:rFonts w:hint="eastAsia" w:ascii="Arial" w:hAnsi="Arial" w:cs="Arial"/>
                <w:sz w:val="24"/>
              </w:rPr>
              <w:t xml:space="preserve">电信□  医疗□  交通运输□  航空□  船舶□  钢铁制造□  石油□ </w:t>
            </w:r>
          </w:p>
          <w:p>
            <w:pPr>
              <w:tabs>
                <w:tab w:val="right" w:pos="8820"/>
              </w:tabs>
              <w:spacing w:line="360" w:lineRule="exact"/>
              <w:jc w:val="left"/>
              <w:rPr>
                <w:rFonts w:ascii="Arial" w:hAnsi="Arial" w:cs="Arial"/>
                <w:sz w:val="24"/>
              </w:rPr>
            </w:pPr>
            <w:r>
              <w:rPr>
                <w:rFonts w:hint="eastAsia" w:ascii="Arial" w:hAnsi="Arial" w:cs="Arial"/>
                <w:sz w:val="24"/>
              </w:rPr>
              <w:t>电力□  印刷□  航运□  城市基础设施建设□  工业装备□  教育□</w:t>
            </w:r>
          </w:p>
          <w:p>
            <w:pPr>
              <w:tabs>
                <w:tab w:val="right" w:pos="8820"/>
              </w:tabs>
              <w:spacing w:line="360" w:lineRule="exact"/>
              <w:jc w:val="left"/>
              <w:rPr>
                <w:rFonts w:ascii="Arial" w:hAnsi="Arial" w:cs="Arial"/>
                <w:sz w:val="24"/>
              </w:rPr>
            </w:pPr>
            <w:r>
              <w:rPr>
                <w:rFonts w:hint="eastAsia" w:ascii="Arial" w:hAnsi="Arial" w:cs="Arial"/>
                <w:sz w:val="24"/>
              </w:rPr>
              <w:t>建筑设备□  汽车物流设备□  纺织印染设备□  印刷包装设备□</w:t>
            </w:r>
          </w:p>
        </w:tc>
      </w:tr>
    </w:tbl>
    <w:p>
      <w:pPr>
        <w:spacing w:line="340" w:lineRule="exact"/>
        <w:ind w:left="560" w:hanging="560" w:hangingChars="200"/>
        <w:rPr>
          <w:rFonts w:ascii="宋体" w:hAnsi="宋体"/>
          <w:sz w:val="28"/>
          <w:szCs w:val="28"/>
        </w:rPr>
      </w:pPr>
      <w:r>
        <w:rPr>
          <w:rFonts w:hint="eastAsia" w:ascii="宋体" w:hAnsi="宋体" w:cs="Arial"/>
          <w:sz w:val="28"/>
          <w:szCs w:val="28"/>
        </w:rPr>
        <w:t>注：</w:t>
      </w:r>
      <w:r>
        <w:rPr>
          <w:rFonts w:ascii="宋体" w:hAnsi="宋体" w:cs="Arial"/>
          <w:sz w:val="28"/>
          <w:szCs w:val="28"/>
        </w:rPr>
        <w:t>1.</w:t>
      </w:r>
      <w:r>
        <w:rPr>
          <w:rFonts w:hint="eastAsia" w:ascii="宋体" w:hAnsi="宋体"/>
          <w:sz w:val="28"/>
          <w:szCs w:val="28"/>
        </w:rPr>
        <w:t>请填写完整报名表各项信息后邮件或传真至会务处，并及时通知联系人，报名后5个工作日内付款，汇款凭证邮件或传真至会务处，会务处将根据汇款先后顺序安排会场座次。</w:t>
      </w:r>
    </w:p>
    <w:p>
      <w:pPr>
        <w:spacing w:line="340" w:lineRule="exact"/>
        <w:ind w:left="560" w:hanging="560" w:hangingChars="200"/>
        <w:rPr>
          <w:rFonts w:ascii="宋体" w:hAnsi="宋体"/>
          <w:sz w:val="28"/>
          <w:szCs w:val="28"/>
        </w:rPr>
      </w:pPr>
      <w:r>
        <w:rPr>
          <w:rFonts w:hint="eastAsia" w:ascii="宋体" w:hAnsi="宋体"/>
          <w:sz w:val="28"/>
          <w:szCs w:val="28"/>
        </w:rPr>
        <w:t xml:space="preserve">    2</w:t>
      </w:r>
      <w:r>
        <w:rPr>
          <w:rFonts w:ascii="宋体" w:hAnsi="宋体" w:cs="Arial"/>
          <w:sz w:val="28"/>
          <w:szCs w:val="28"/>
        </w:rPr>
        <w:t>.</w:t>
      </w:r>
      <w:r>
        <w:rPr>
          <w:rFonts w:hint="eastAsia" w:ascii="宋体" w:hAnsi="宋体"/>
          <w:sz w:val="28"/>
          <w:szCs w:val="28"/>
        </w:rPr>
        <w:t>温馨提示：因课程人数限制，以款到为报名成功！缴费后不接受退款申请。</w:t>
      </w:r>
    </w:p>
    <w:p>
      <w:pPr>
        <w:spacing w:line="340" w:lineRule="exact"/>
        <w:ind w:left="559" w:leftChars="266"/>
        <w:rPr>
          <w:rFonts w:ascii="宋体" w:hAnsi="宋体" w:cs="Arial"/>
          <w:sz w:val="28"/>
          <w:szCs w:val="28"/>
        </w:rPr>
      </w:pPr>
      <w:r>
        <w:rPr>
          <w:rFonts w:hint="eastAsia" w:ascii="宋体" w:hAnsi="宋体" w:cs="Arial"/>
          <w:sz w:val="28"/>
          <w:szCs w:val="28"/>
        </w:rPr>
        <w:t xml:space="preserve">联系人：常 帅 18311042675     微信公众号：rzzl-jz </w:t>
      </w:r>
    </w:p>
    <w:p>
      <w:pPr>
        <w:autoSpaceDE w:val="0"/>
        <w:autoSpaceDN w:val="0"/>
        <w:adjustRightInd w:val="0"/>
        <w:spacing w:line="360" w:lineRule="exact"/>
        <w:ind w:firstLine="140" w:firstLineChars="50"/>
        <w:jc w:val="left"/>
        <w:rPr>
          <w:rFonts w:ascii="宋体" w:hAnsi="宋体" w:cs="Arial"/>
          <w:sz w:val="28"/>
          <w:szCs w:val="28"/>
        </w:rPr>
      </w:pPr>
      <w:r>
        <w:rPr>
          <w:rFonts w:hint="eastAsia" w:ascii="宋体" w:hAnsi="宋体" w:cs="Arial"/>
          <w:sz w:val="28"/>
          <w:szCs w:val="28"/>
        </w:rPr>
        <w:t xml:space="preserve">   传  真：010-87289242            </w:t>
      </w:r>
      <w:r>
        <w:rPr>
          <w:rFonts w:hint="eastAsia" w:ascii="宋体" w:hAnsi="宋体"/>
          <w:sz w:val="28"/>
          <w:szCs w:val="28"/>
        </w:rPr>
        <w:t>E-mail:</w:t>
      </w:r>
      <w:r>
        <w:rPr>
          <w:rFonts w:hint="eastAsia" w:ascii="宋体" w:hAnsi="宋体"/>
          <w:sz w:val="28"/>
          <w:szCs w:val="28"/>
          <w:lang w:val="en-US" w:eastAsia="zh-CN"/>
        </w:rPr>
        <w:t>2059652357@qq.com</w:t>
      </w:r>
    </w:p>
    <w:sectPr>
      <w:headerReference r:id="rId3" w:type="default"/>
      <w:footerReference r:id="rId4" w:type="default"/>
      <w:footerReference r:id="rId5" w:type="even"/>
      <w:pgSz w:w="12242" w:h="15842"/>
      <w:pgMar w:top="851" w:right="1134" w:bottom="851" w:left="1134" w:header="851" w:footer="850"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rPr>
    </w:pPr>
    <w:r>
      <w:rPr>
        <w:rStyle w:val="10"/>
      </w:rPr>
      <w:fldChar w:fldCharType="begin"/>
    </w:r>
    <w:r>
      <w:rPr>
        <w:rStyle w:val="10"/>
      </w:rPr>
      <w:instrText xml:space="preserve">PAGE  </w:instrText>
    </w:r>
    <w:r>
      <w:rPr>
        <w:rStyle w:val="10"/>
      </w:rPr>
      <w:fldChar w:fldCharType="separate"/>
    </w:r>
    <w:r>
      <w:rPr>
        <w:rStyle w:val="10"/>
      </w:rPr>
      <w:t>3</w:t>
    </w:r>
    <w:r>
      <w:rPr>
        <w:rStyle w:val="10"/>
      </w:rPr>
      <w:fldChar w:fldCharType="end"/>
    </w:r>
  </w:p>
  <w:p>
    <w:pPr>
      <w:pStyle w:val="4"/>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rPr>
    </w:pPr>
    <w:r>
      <w:rPr>
        <w:rStyle w:val="10"/>
      </w:rPr>
      <w:fldChar w:fldCharType="begin"/>
    </w:r>
    <w:r>
      <w:rPr>
        <w:rStyle w:val="10"/>
      </w:rPr>
      <w:instrText xml:space="preserve">PAGE  </w:instrText>
    </w:r>
    <w:r>
      <w:rPr>
        <w:rStyle w:val="10"/>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IyYmQ4NGY2ZWU1NTkwOWFhYTI3Njc3NWNiMDE2NzYifQ=="/>
  </w:docVars>
  <w:rsids>
    <w:rsidRoot w:val="009478F4"/>
    <w:rsid w:val="00002A5E"/>
    <w:rsid w:val="00002AF7"/>
    <w:rsid w:val="00003629"/>
    <w:rsid w:val="000038AF"/>
    <w:rsid w:val="00003B81"/>
    <w:rsid w:val="000123F8"/>
    <w:rsid w:val="00020655"/>
    <w:rsid w:val="00021FA9"/>
    <w:rsid w:val="000244C5"/>
    <w:rsid w:val="000264B3"/>
    <w:rsid w:val="000370F9"/>
    <w:rsid w:val="00040189"/>
    <w:rsid w:val="000409DF"/>
    <w:rsid w:val="00041636"/>
    <w:rsid w:val="000430F4"/>
    <w:rsid w:val="00054AE1"/>
    <w:rsid w:val="00067540"/>
    <w:rsid w:val="00073ACA"/>
    <w:rsid w:val="00077E45"/>
    <w:rsid w:val="00080B19"/>
    <w:rsid w:val="000833B5"/>
    <w:rsid w:val="00083B54"/>
    <w:rsid w:val="00084DA7"/>
    <w:rsid w:val="00095684"/>
    <w:rsid w:val="00096CBA"/>
    <w:rsid w:val="000A2C2A"/>
    <w:rsid w:val="000A493D"/>
    <w:rsid w:val="000A6FEC"/>
    <w:rsid w:val="000A7C12"/>
    <w:rsid w:val="000B08C3"/>
    <w:rsid w:val="000B1185"/>
    <w:rsid w:val="000B11EE"/>
    <w:rsid w:val="000B21DE"/>
    <w:rsid w:val="000B3665"/>
    <w:rsid w:val="000B4A03"/>
    <w:rsid w:val="000C7011"/>
    <w:rsid w:val="000D0930"/>
    <w:rsid w:val="000D0A10"/>
    <w:rsid w:val="000D5F45"/>
    <w:rsid w:val="000D775C"/>
    <w:rsid w:val="000E6A03"/>
    <w:rsid w:val="000E7920"/>
    <w:rsid w:val="000F4313"/>
    <w:rsid w:val="000F4B6B"/>
    <w:rsid w:val="001001BD"/>
    <w:rsid w:val="00100CA7"/>
    <w:rsid w:val="001106F5"/>
    <w:rsid w:val="001126D5"/>
    <w:rsid w:val="00120E2E"/>
    <w:rsid w:val="001214A0"/>
    <w:rsid w:val="0012277E"/>
    <w:rsid w:val="00123FF0"/>
    <w:rsid w:val="001272B1"/>
    <w:rsid w:val="001305D0"/>
    <w:rsid w:val="00131A82"/>
    <w:rsid w:val="00131FC9"/>
    <w:rsid w:val="001336C2"/>
    <w:rsid w:val="0014074D"/>
    <w:rsid w:val="00153A3A"/>
    <w:rsid w:val="0016534B"/>
    <w:rsid w:val="00165662"/>
    <w:rsid w:val="001757D9"/>
    <w:rsid w:val="00177918"/>
    <w:rsid w:val="00177DB0"/>
    <w:rsid w:val="00180812"/>
    <w:rsid w:val="00181786"/>
    <w:rsid w:val="00182DDB"/>
    <w:rsid w:val="00185B7E"/>
    <w:rsid w:val="00186DCF"/>
    <w:rsid w:val="00190F2A"/>
    <w:rsid w:val="001B6D7A"/>
    <w:rsid w:val="001B7160"/>
    <w:rsid w:val="001C3233"/>
    <w:rsid w:val="001C3BB5"/>
    <w:rsid w:val="001D40A4"/>
    <w:rsid w:val="001D42E4"/>
    <w:rsid w:val="001D4F98"/>
    <w:rsid w:val="001E268D"/>
    <w:rsid w:val="001F145A"/>
    <w:rsid w:val="001F530D"/>
    <w:rsid w:val="001F54DC"/>
    <w:rsid w:val="001F667D"/>
    <w:rsid w:val="00203939"/>
    <w:rsid w:val="00213DE5"/>
    <w:rsid w:val="00220201"/>
    <w:rsid w:val="002225A5"/>
    <w:rsid w:val="00236ADC"/>
    <w:rsid w:val="002422E4"/>
    <w:rsid w:val="00247052"/>
    <w:rsid w:val="002519FC"/>
    <w:rsid w:val="002533FC"/>
    <w:rsid w:val="00254E45"/>
    <w:rsid w:val="00256691"/>
    <w:rsid w:val="002572E0"/>
    <w:rsid w:val="0025737C"/>
    <w:rsid w:val="002573FA"/>
    <w:rsid w:val="002614A0"/>
    <w:rsid w:val="0026474A"/>
    <w:rsid w:val="00267C94"/>
    <w:rsid w:val="002711FB"/>
    <w:rsid w:val="0028534F"/>
    <w:rsid w:val="00285929"/>
    <w:rsid w:val="00293727"/>
    <w:rsid w:val="002954E5"/>
    <w:rsid w:val="002A708E"/>
    <w:rsid w:val="002B664E"/>
    <w:rsid w:val="002B7F08"/>
    <w:rsid w:val="002C60AC"/>
    <w:rsid w:val="002C64BA"/>
    <w:rsid w:val="002C70BD"/>
    <w:rsid w:val="002D206C"/>
    <w:rsid w:val="002E5538"/>
    <w:rsid w:val="002F12B8"/>
    <w:rsid w:val="002F33A7"/>
    <w:rsid w:val="002F5ABE"/>
    <w:rsid w:val="00301EA8"/>
    <w:rsid w:val="0030269B"/>
    <w:rsid w:val="00303AA3"/>
    <w:rsid w:val="003053F7"/>
    <w:rsid w:val="003128B7"/>
    <w:rsid w:val="003214FB"/>
    <w:rsid w:val="00321DBA"/>
    <w:rsid w:val="00323183"/>
    <w:rsid w:val="003268BA"/>
    <w:rsid w:val="00326D90"/>
    <w:rsid w:val="0033360B"/>
    <w:rsid w:val="00333EAA"/>
    <w:rsid w:val="0034329D"/>
    <w:rsid w:val="00343549"/>
    <w:rsid w:val="00357B16"/>
    <w:rsid w:val="003610B9"/>
    <w:rsid w:val="00361A29"/>
    <w:rsid w:val="003621D9"/>
    <w:rsid w:val="00362D28"/>
    <w:rsid w:val="00365BE2"/>
    <w:rsid w:val="0036745F"/>
    <w:rsid w:val="0037196C"/>
    <w:rsid w:val="00376807"/>
    <w:rsid w:val="003810CE"/>
    <w:rsid w:val="003816F2"/>
    <w:rsid w:val="00396536"/>
    <w:rsid w:val="00397D11"/>
    <w:rsid w:val="003A2393"/>
    <w:rsid w:val="003A38B3"/>
    <w:rsid w:val="003B17C9"/>
    <w:rsid w:val="003B23EC"/>
    <w:rsid w:val="003C396C"/>
    <w:rsid w:val="003C495D"/>
    <w:rsid w:val="003C5BCD"/>
    <w:rsid w:val="003C6802"/>
    <w:rsid w:val="003D51D0"/>
    <w:rsid w:val="003E2572"/>
    <w:rsid w:val="00405131"/>
    <w:rsid w:val="0040617A"/>
    <w:rsid w:val="00407349"/>
    <w:rsid w:val="0041488E"/>
    <w:rsid w:val="00423074"/>
    <w:rsid w:val="00434115"/>
    <w:rsid w:val="00434BF6"/>
    <w:rsid w:val="00452ECD"/>
    <w:rsid w:val="004623CB"/>
    <w:rsid w:val="004651EE"/>
    <w:rsid w:val="0046610F"/>
    <w:rsid w:val="0046614C"/>
    <w:rsid w:val="00466FD7"/>
    <w:rsid w:val="00474B99"/>
    <w:rsid w:val="00476A45"/>
    <w:rsid w:val="004777CA"/>
    <w:rsid w:val="00493FA6"/>
    <w:rsid w:val="00495D34"/>
    <w:rsid w:val="004A1282"/>
    <w:rsid w:val="004A245E"/>
    <w:rsid w:val="004A726E"/>
    <w:rsid w:val="004B1995"/>
    <w:rsid w:val="004B3E14"/>
    <w:rsid w:val="004B7B2D"/>
    <w:rsid w:val="004B7D37"/>
    <w:rsid w:val="004C0A6A"/>
    <w:rsid w:val="004C35D7"/>
    <w:rsid w:val="004C648C"/>
    <w:rsid w:val="004C723F"/>
    <w:rsid w:val="004D3B6E"/>
    <w:rsid w:val="004D4922"/>
    <w:rsid w:val="004E1729"/>
    <w:rsid w:val="004E2781"/>
    <w:rsid w:val="004F6DB9"/>
    <w:rsid w:val="00516440"/>
    <w:rsid w:val="0051671F"/>
    <w:rsid w:val="005172EB"/>
    <w:rsid w:val="00524193"/>
    <w:rsid w:val="00524D15"/>
    <w:rsid w:val="0054519A"/>
    <w:rsid w:val="00545204"/>
    <w:rsid w:val="00545AD0"/>
    <w:rsid w:val="0054661E"/>
    <w:rsid w:val="00546FAD"/>
    <w:rsid w:val="00553E07"/>
    <w:rsid w:val="0056023A"/>
    <w:rsid w:val="00560880"/>
    <w:rsid w:val="00564B16"/>
    <w:rsid w:val="005657E6"/>
    <w:rsid w:val="00566111"/>
    <w:rsid w:val="005678B9"/>
    <w:rsid w:val="00567C87"/>
    <w:rsid w:val="005728FC"/>
    <w:rsid w:val="00580682"/>
    <w:rsid w:val="00582072"/>
    <w:rsid w:val="005A100C"/>
    <w:rsid w:val="005B7FEA"/>
    <w:rsid w:val="005C21F3"/>
    <w:rsid w:val="005C2D61"/>
    <w:rsid w:val="005C4E41"/>
    <w:rsid w:val="005C62E3"/>
    <w:rsid w:val="005F5BD7"/>
    <w:rsid w:val="00603713"/>
    <w:rsid w:val="006041CB"/>
    <w:rsid w:val="006126D0"/>
    <w:rsid w:val="00612AEC"/>
    <w:rsid w:val="006155E6"/>
    <w:rsid w:val="00616551"/>
    <w:rsid w:val="006169EB"/>
    <w:rsid w:val="006306D8"/>
    <w:rsid w:val="00642DD8"/>
    <w:rsid w:val="006502F0"/>
    <w:rsid w:val="00653759"/>
    <w:rsid w:val="00654B97"/>
    <w:rsid w:val="006579C9"/>
    <w:rsid w:val="00662CA4"/>
    <w:rsid w:val="0066337E"/>
    <w:rsid w:val="00670C18"/>
    <w:rsid w:val="00681CC0"/>
    <w:rsid w:val="006843D7"/>
    <w:rsid w:val="00686CD3"/>
    <w:rsid w:val="00694E4C"/>
    <w:rsid w:val="006A2018"/>
    <w:rsid w:val="006A5030"/>
    <w:rsid w:val="006A7324"/>
    <w:rsid w:val="006A7FC8"/>
    <w:rsid w:val="006C0F51"/>
    <w:rsid w:val="006D7F80"/>
    <w:rsid w:val="006E0282"/>
    <w:rsid w:val="006E09C2"/>
    <w:rsid w:val="006E2DF2"/>
    <w:rsid w:val="006E42EB"/>
    <w:rsid w:val="006E5752"/>
    <w:rsid w:val="006E6C1F"/>
    <w:rsid w:val="006F1F68"/>
    <w:rsid w:val="006F46C9"/>
    <w:rsid w:val="006F7A98"/>
    <w:rsid w:val="006F7B82"/>
    <w:rsid w:val="0070223F"/>
    <w:rsid w:val="007048BA"/>
    <w:rsid w:val="00705CBB"/>
    <w:rsid w:val="0071341C"/>
    <w:rsid w:val="007170D4"/>
    <w:rsid w:val="00717DFF"/>
    <w:rsid w:val="00723FE4"/>
    <w:rsid w:val="00727278"/>
    <w:rsid w:val="00727D98"/>
    <w:rsid w:val="00730094"/>
    <w:rsid w:val="007303B9"/>
    <w:rsid w:val="0073283C"/>
    <w:rsid w:val="007338AA"/>
    <w:rsid w:val="00753C71"/>
    <w:rsid w:val="00754012"/>
    <w:rsid w:val="00761AE1"/>
    <w:rsid w:val="00773ABA"/>
    <w:rsid w:val="00774DD2"/>
    <w:rsid w:val="00775EFD"/>
    <w:rsid w:val="00786982"/>
    <w:rsid w:val="00791AEA"/>
    <w:rsid w:val="007939AA"/>
    <w:rsid w:val="00796105"/>
    <w:rsid w:val="00796343"/>
    <w:rsid w:val="007A3B36"/>
    <w:rsid w:val="007B36FB"/>
    <w:rsid w:val="007B79AA"/>
    <w:rsid w:val="007C1452"/>
    <w:rsid w:val="007C58B7"/>
    <w:rsid w:val="007E40CA"/>
    <w:rsid w:val="007E5929"/>
    <w:rsid w:val="008000E5"/>
    <w:rsid w:val="00803FA5"/>
    <w:rsid w:val="0080749C"/>
    <w:rsid w:val="00810EDE"/>
    <w:rsid w:val="008165CE"/>
    <w:rsid w:val="00820869"/>
    <w:rsid w:val="00821046"/>
    <w:rsid w:val="008216AF"/>
    <w:rsid w:val="00833F37"/>
    <w:rsid w:val="008350E3"/>
    <w:rsid w:val="0084645D"/>
    <w:rsid w:val="00855192"/>
    <w:rsid w:val="00862490"/>
    <w:rsid w:val="00871FCE"/>
    <w:rsid w:val="0087727E"/>
    <w:rsid w:val="00877281"/>
    <w:rsid w:val="00877B1C"/>
    <w:rsid w:val="00884719"/>
    <w:rsid w:val="00887849"/>
    <w:rsid w:val="00887B79"/>
    <w:rsid w:val="00893975"/>
    <w:rsid w:val="008A0028"/>
    <w:rsid w:val="008B3FED"/>
    <w:rsid w:val="008B46DA"/>
    <w:rsid w:val="008B79B8"/>
    <w:rsid w:val="008B7FE5"/>
    <w:rsid w:val="008C338B"/>
    <w:rsid w:val="008C4659"/>
    <w:rsid w:val="008D4036"/>
    <w:rsid w:val="008D7222"/>
    <w:rsid w:val="008F48A5"/>
    <w:rsid w:val="008F769F"/>
    <w:rsid w:val="00901A7B"/>
    <w:rsid w:val="0090256C"/>
    <w:rsid w:val="00911BCF"/>
    <w:rsid w:val="009125B4"/>
    <w:rsid w:val="00912E90"/>
    <w:rsid w:val="009160EB"/>
    <w:rsid w:val="0092311C"/>
    <w:rsid w:val="00924259"/>
    <w:rsid w:val="00926029"/>
    <w:rsid w:val="00930180"/>
    <w:rsid w:val="00932F33"/>
    <w:rsid w:val="00933AEB"/>
    <w:rsid w:val="00935516"/>
    <w:rsid w:val="00935EC6"/>
    <w:rsid w:val="00943296"/>
    <w:rsid w:val="009478F4"/>
    <w:rsid w:val="0095370F"/>
    <w:rsid w:val="009675EF"/>
    <w:rsid w:val="009768A1"/>
    <w:rsid w:val="00980152"/>
    <w:rsid w:val="009949AE"/>
    <w:rsid w:val="009967D9"/>
    <w:rsid w:val="009A1BB2"/>
    <w:rsid w:val="009A3EBD"/>
    <w:rsid w:val="009A6A03"/>
    <w:rsid w:val="009B0230"/>
    <w:rsid w:val="009C2A83"/>
    <w:rsid w:val="009C60BF"/>
    <w:rsid w:val="009C6AB2"/>
    <w:rsid w:val="009C6FEA"/>
    <w:rsid w:val="009D107F"/>
    <w:rsid w:val="009D1F0C"/>
    <w:rsid w:val="009D5D13"/>
    <w:rsid w:val="009E0D79"/>
    <w:rsid w:val="009E6744"/>
    <w:rsid w:val="009F6722"/>
    <w:rsid w:val="00A0287A"/>
    <w:rsid w:val="00A02D26"/>
    <w:rsid w:val="00A11AC0"/>
    <w:rsid w:val="00A151B1"/>
    <w:rsid w:val="00A203DC"/>
    <w:rsid w:val="00A2239E"/>
    <w:rsid w:val="00A243BC"/>
    <w:rsid w:val="00A26A38"/>
    <w:rsid w:val="00A27A72"/>
    <w:rsid w:val="00A31779"/>
    <w:rsid w:val="00A321D7"/>
    <w:rsid w:val="00A32C58"/>
    <w:rsid w:val="00A41C1F"/>
    <w:rsid w:val="00A42411"/>
    <w:rsid w:val="00A43674"/>
    <w:rsid w:val="00A60E7D"/>
    <w:rsid w:val="00A72798"/>
    <w:rsid w:val="00A76915"/>
    <w:rsid w:val="00A76DB2"/>
    <w:rsid w:val="00A820A0"/>
    <w:rsid w:val="00A8254B"/>
    <w:rsid w:val="00A84516"/>
    <w:rsid w:val="00A93602"/>
    <w:rsid w:val="00A9585A"/>
    <w:rsid w:val="00AA2C78"/>
    <w:rsid w:val="00AB5120"/>
    <w:rsid w:val="00AB6341"/>
    <w:rsid w:val="00AC11B0"/>
    <w:rsid w:val="00AC2797"/>
    <w:rsid w:val="00AC5926"/>
    <w:rsid w:val="00AC74A9"/>
    <w:rsid w:val="00AD32E4"/>
    <w:rsid w:val="00AD7B55"/>
    <w:rsid w:val="00AE1483"/>
    <w:rsid w:val="00AE1A2C"/>
    <w:rsid w:val="00AE4200"/>
    <w:rsid w:val="00AE70A0"/>
    <w:rsid w:val="00AF26C4"/>
    <w:rsid w:val="00B006EB"/>
    <w:rsid w:val="00B0084F"/>
    <w:rsid w:val="00B034FA"/>
    <w:rsid w:val="00B0579B"/>
    <w:rsid w:val="00B14B83"/>
    <w:rsid w:val="00B15155"/>
    <w:rsid w:val="00B1710D"/>
    <w:rsid w:val="00B219B3"/>
    <w:rsid w:val="00B23AF6"/>
    <w:rsid w:val="00B24274"/>
    <w:rsid w:val="00B251E3"/>
    <w:rsid w:val="00B348F0"/>
    <w:rsid w:val="00B36676"/>
    <w:rsid w:val="00B4609C"/>
    <w:rsid w:val="00B51520"/>
    <w:rsid w:val="00B52D87"/>
    <w:rsid w:val="00B54EBF"/>
    <w:rsid w:val="00B65B2C"/>
    <w:rsid w:val="00B67FE1"/>
    <w:rsid w:val="00B860B7"/>
    <w:rsid w:val="00B90DAA"/>
    <w:rsid w:val="00B93E1B"/>
    <w:rsid w:val="00BA4C3E"/>
    <w:rsid w:val="00BA60D2"/>
    <w:rsid w:val="00BB20A9"/>
    <w:rsid w:val="00BB2656"/>
    <w:rsid w:val="00BB36BC"/>
    <w:rsid w:val="00BB3FC7"/>
    <w:rsid w:val="00BC0573"/>
    <w:rsid w:val="00BC4F77"/>
    <w:rsid w:val="00BE4468"/>
    <w:rsid w:val="00C03062"/>
    <w:rsid w:val="00C041F2"/>
    <w:rsid w:val="00C05C6F"/>
    <w:rsid w:val="00C130B9"/>
    <w:rsid w:val="00C15B58"/>
    <w:rsid w:val="00C20968"/>
    <w:rsid w:val="00C22B37"/>
    <w:rsid w:val="00C25196"/>
    <w:rsid w:val="00C26AAF"/>
    <w:rsid w:val="00C32491"/>
    <w:rsid w:val="00C33DAF"/>
    <w:rsid w:val="00C35A39"/>
    <w:rsid w:val="00C54984"/>
    <w:rsid w:val="00C54B13"/>
    <w:rsid w:val="00C55674"/>
    <w:rsid w:val="00C65395"/>
    <w:rsid w:val="00C66FBA"/>
    <w:rsid w:val="00C6703E"/>
    <w:rsid w:val="00C7295C"/>
    <w:rsid w:val="00C75B47"/>
    <w:rsid w:val="00C9048E"/>
    <w:rsid w:val="00C93B8A"/>
    <w:rsid w:val="00C9623B"/>
    <w:rsid w:val="00C979E6"/>
    <w:rsid w:val="00CA7C20"/>
    <w:rsid w:val="00CB21EA"/>
    <w:rsid w:val="00CB4F0C"/>
    <w:rsid w:val="00CC7354"/>
    <w:rsid w:val="00CD0915"/>
    <w:rsid w:val="00CF11EB"/>
    <w:rsid w:val="00CF5557"/>
    <w:rsid w:val="00CF7873"/>
    <w:rsid w:val="00D152EB"/>
    <w:rsid w:val="00D21F1F"/>
    <w:rsid w:val="00D30854"/>
    <w:rsid w:val="00D30A58"/>
    <w:rsid w:val="00D31985"/>
    <w:rsid w:val="00D41128"/>
    <w:rsid w:val="00D45C4B"/>
    <w:rsid w:val="00D655AA"/>
    <w:rsid w:val="00D760BC"/>
    <w:rsid w:val="00D82C1A"/>
    <w:rsid w:val="00D8652E"/>
    <w:rsid w:val="00D95392"/>
    <w:rsid w:val="00DA5D94"/>
    <w:rsid w:val="00DC20EB"/>
    <w:rsid w:val="00DD5910"/>
    <w:rsid w:val="00DE0BBD"/>
    <w:rsid w:val="00DE1E9B"/>
    <w:rsid w:val="00DE2A25"/>
    <w:rsid w:val="00DE3FDF"/>
    <w:rsid w:val="00DF03D5"/>
    <w:rsid w:val="00DF3007"/>
    <w:rsid w:val="00DF515A"/>
    <w:rsid w:val="00DF582A"/>
    <w:rsid w:val="00E00173"/>
    <w:rsid w:val="00E02BC2"/>
    <w:rsid w:val="00E031E9"/>
    <w:rsid w:val="00E06488"/>
    <w:rsid w:val="00E06F4F"/>
    <w:rsid w:val="00E10205"/>
    <w:rsid w:val="00E122AF"/>
    <w:rsid w:val="00E12DB1"/>
    <w:rsid w:val="00E13BCD"/>
    <w:rsid w:val="00E207E4"/>
    <w:rsid w:val="00E21AB2"/>
    <w:rsid w:val="00E231C1"/>
    <w:rsid w:val="00E247F6"/>
    <w:rsid w:val="00E24C91"/>
    <w:rsid w:val="00E2519F"/>
    <w:rsid w:val="00E25B88"/>
    <w:rsid w:val="00E3186E"/>
    <w:rsid w:val="00E33D47"/>
    <w:rsid w:val="00E418D2"/>
    <w:rsid w:val="00E54AAE"/>
    <w:rsid w:val="00E54B18"/>
    <w:rsid w:val="00E566F9"/>
    <w:rsid w:val="00E710F5"/>
    <w:rsid w:val="00E72A95"/>
    <w:rsid w:val="00E74635"/>
    <w:rsid w:val="00E74876"/>
    <w:rsid w:val="00E8175B"/>
    <w:rsid w:val="00E81ADC"/>
    <w:rsid w:val="00E96EF1"/>
    <w:rsid w:val="00E97177"/>
    <w:rsid w:val="00EA74C3"/>
    <w:rsid w:val="00EB532B"/>
    <w:rsid w:val="00EB7375"/>
    <w:rsid w:val="00EC2D8B"/>
    <w:rsid w:val="00EC5B31"/>
    <w:rsid w:val="00ED0381"/>
    <w:rsid w:val="00ED0875"/>
    <w:rsid w:val="00ED5BF4"/>
    <w:rsid w:val="00EE0867"/>
    <w:rsid w:val="00EE136A"/>
    <w:rsid w:val="00EE5AFC"/>
    <w:rsid w:val="00EF1683"/>
    <w:rsid w:val="00EF3810"/>
    <w:rsid w:val="00F03782"/>
    <w:rsid w:val="00F041CF"/>
    <w:rsid w:val="00F05776"/>
    <w:rsid w:val="00F0600B"/>
    <w:rsid w:val="00F11F2A"/>
    <w:rsid w:val="00F127EA"/>
    <w:rsid w:val="00F15493"/>
    <w:rsid w:val="00F170A8"/>
    <w:rsid w:val="00F1773B"/>
    <w:rsid w:val="00F20E62"/>
    <w:rsid w:val="00F30EB3"/>
    <w:rsid w:val="00F358CE"/>
    <w:rsid w:val="00F36985"/>
    <w:rsid w:val="00F41793"/>
    <w:rsid w:val="00F43098"/>
    <w:rsid w:val="00F52A76"/>
    <w:rsid w:val="00F52C4E"/>
    <w:rsid w:val="00F55CE4"/>
    <w:rsid w:val="00F575F3"/>
    <w:rsid w:val="00F5785A"/>
    <w:rsid w:val="00F57AFF"/>
    <w:rsid w:val="00F61C0B"/>
    <w:rsid w:val="00F65DA3"/>
    <w:rsid w:val="00F672A4"/>
    <w:rsid w:val="00F71287"/>
    <w:rsid w:val="00F77428"/>
    <w:rsid w:val="00F84FD4"/>
    <w:rsid w:val="00F85D79"/>
    <w:rsid w:val="00F86D2C"/>
    <w:rsid w:val="00F95559"/>
    <w:rsid w:val="00FC0D73"/>
    <w:rsid w:val="00FC1912"/>
    <w:rsid w:val="00FC5DF4"/>
    <w:rsid w:val="00FD10DF"/>
    <w:rsid w:val="00FD2796"/>
    <w:rsid w:val="00FD2805"/>
    <w:rsid w:val="00FD3AE6"/>
    <w:rsid w:val="00FD4F8B"/>
    <w:rsid w:val="00FD52C7"/>
    <w:rsid w:val="00FE285C"/>
    <w:rsid w:val="00FF4E70"/>
    <w:rsid w:val="00FF56F5"/>
    <w:rsid w:val="00FF6092"/>
    <w:rsid w:val="02CC7317"/>
    <w:rsid w:val="0D346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7"/>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3"/>
    <w:uiPriority w:val="0"/>
    <w:pPr>
      <w:ind w:left="100" w:leftChars="2500"/>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22"/>
    <w:rPr>
      <w:b/>
      <w:bCs/>
    </w:rPr>
  </w:style>
  <w:style w:type="character" w:styleId="10">
    <w:name w:val="page number"/>
    <w:basedOn w:val="8"/>
    <w:uiPriority w:val="0"/>
  </w:style>
  <w:style w:type="character" w:styleId="11">
    <w:name w:val="Hyperlink"/>
    <w:basedOn w:val="8"/>
    <w:qFormat/>
    <w:uiPriority w:val="0"/>
    <w:rPr>
      <w:color w:val="0000FF"/>
      <w:u w:val="single"/>
    </w:rPr>
  </w:style>
  <w:style w:type="paragraph" w:customStyle="1" w:styleId="12">
    <w:name w:val="列出段落1"/>
    <w:basedOn w:val="1"/>
    <w:qFormat/>
    <w:uiPriority w:val="0"/>
    <w:pPr>
      <w:ind w:firstLine="420" w:firstLineChars="200"/>
    </w:pPr>
    <w:rPr>
      <w:szCs w:val="20"/>
    </w:rPr>
  </w:style>
  <w:style w:type="character" w:customStyle="1" w:styleId="13">
    <w:name w:val="日期 Char"/>
    <w:basedOn w:val="8"/>
    <w:link w:val="3"/>
    <w:qFormat/>
    <w:uiPriority w:val="0"/>
    <w:rPr>
      <w:kern w:val="2"/>
      <w:sz w:val="21"/>
      <w:szCs w:val="24"/>
    </w:rPr>
  </w:style>
  <w:style w:type="character" w:customStyle="1" w:styleId="14">
    <w:name w:val="list_text1"/>
    <w:basedOn w:val="8"/>
    <w:qFormat/>
    <w:uiPriority w:val="0"/>
    <w:rPr>
      <w:sz w:val="20"/>
      <w:szCs w:val="20"/>
    </w:rPr>
  </w:style>
  <w:style w:type="paragraph" w:styleId="15">
    <w:name w:val="List Paragraph"/>
    <w:basedOn w:val="1"/>
    <w:qFormat/>
    <w:uiPriority w:val="34"/>
    <w:pPr>
      <w:ind w:firstLine="420" w:firstLineChars="200"/>
    </w:pPr>
    <w:rPr>
      <w:rFonts w:ascii="Calibri" w:hAnsi="Calibri"/>
      <w:szCs w:val="22"/>
    </w:rPr>
  </w:style>
  <w:style w:type="paragraph" w:customStyle="1" w:styleId="16">
    <w:name w:val="Char Char Char Char Char Char Char Char Char"/>
    <w:basedOn w:val="1"/>
    <w:qFormat/>
    <w:uiPriority w:val="0"/>
    <w:pPr>
      <w:widowControl/>
      <w:spacing w:after="160" w:line="240" w:lineRule="exact"/>
      <w:jc w:val="left"/>
    </w:pPr>
  </w:style>
  <w:style w:type="character" w:customStyle="1" w:styleId="17">
    <w:name w:val="标题 2 Char"/>
    <w:basedOn w:val="8"/>
    <w:link w:val="2"/>
    <w:qFormat/>
    <w:uiPriority w:val="9"/>
    <w:rPr>
      <w:rFonts w:ascii="宋体" w:hAnsi="宋体" w:cs="宋体"/>
      <w:b/>
      <w:bCs/>
      <w:sz w:val="36"/>
      <w:szCs w:val="3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2549</Words>
  <Characters>2732</Characters>
  <Lines>27</Lines>
  <Paragraphs>7</Paragraphs>
  <TotalTime>0</TotalTime>
  <ScaleCrop>false</ScaleCrop>
  <LinksUpToDate>false</LinksUpToDate>
  <CharactersWithSpaces>3648</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2022-05-24T07:17:00Z</dcterms:created>
  <dc:creator>高明 13681125426</dc:creator>
  <cp:lastModifiedBy>融资租赁组委会-常帅</cp:lastModifiedBy>
  <dcterms:modified xsi:type="dcterms:W3CDTF">2022-06-27T01:35:14Z</dcterms:modified>
  <dc:title>融资租赁业贯彻执行营业税改征增值税及会计处理实务操作高级培训班</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631967A02DA44765807EBDEEF08411A1</vt:lpwstr>
  </property>
</Properties>
</file>